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992E0" w14:textId="77777777" w:rsidR="00A83AEB" w:rsidRDefault="00C428AD" w:rsidP="00A83AEB">
      <w:pPr>
        <w:spacing w:before="100" w:after="100" w:line="240" w:lineRule="auto"/>
        <w:jc w:val="both"/>
        <w:rPr>
          <w:rFonts w:ascii="Times New Roman" w:hAnsi="Times New Roman" w:cs="Times New Roman"/>
          <w:b/>
          <w:sz w:val="24"/>
          <w:szCs w:val="24"/>
        </w:rPr>
      </w:pPr>
      <w:r w:rsidRPr="00245243">
        <w:rPr>
          <w:rFonts w:ascii="Times New Roman" w:eastAsia="Calibri" w:hAnsi="Times New Roman" w:cs="Times New Roman"/>
          <w:b/>
          <w:noProof/>
          <w:sz w:val="32"/>
          <w:szCs w:val="32"/>
          <w:shd w:val="clear" w:color="auto" w:fill="F9FBFB"/>
        </w:rPr>
        <w:drawing>
          <wp:anchor distT="0" distB="0" distL="114300" distR="114300" simplePos="0" relativeHeight="251659264" behindDoc="1" locked="0" layoutInCell="1" allowOverlap="1" wp14:anchorId="476B27B8" wp14:editId="74DF9A4D">
            <wp:simplePos x="0" y="0"/>
            <wp:positionH relativeFrom="page">
              <wp:posOffset>0</wp:posOffset>
            </wp:positionH>
            <wp:positionV relativeFrom="paragraph">
              <wp:posOffset>-914400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margin">
              <wp14:pctWidth>0</wp14:pctWidth>
            </wp14:sizeRelH>
            <wp14:sizeRelV relativeFrom="margin">
              <wp14:pctHeight>0</wp14:pctHeight>
            </wp14:sizeRelV>
          </wp:anchor>
        </w:drawing>
      </w:r>
    </w:p>
    <w:p w14:paraId="1FE49E5A" w14:textId="77777777" w:rsidR="00A83AEB" w:rsidRDefault="006235C6">
      <w:pPr>
        <w:rPr>
          <w:rFonts w:ascii="Times New Roman" w:hAnsi="Times New Roman" w:cs="Times New Roman"/>
          <w:b/>
          <w:sz w:val="24"/>
          <w:szCs w:val="24"/>
        </w:rPr>
      </w:pPr>
      <w:r w:rsidRPr="00F61D3A">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12F81B8" wp14:editId="56905286">
                <wp:simplePos x="0" y="0"/>
                <wp:positionH relativeFrom="page">
                  <wp:posOffset>428625</wp:posOffset>
                </wp:positionH>
                <wp:positionV relativeFrom="paragraph">
                  <wp:posOffset>6993890</wp:posOffset>
                </wp:positionV>
                <wp:extent cx="5057775" cy="1724025"/>
                <wp:effectExtent l="0" t="0" r="9525"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7775" cy="1724025"/>
                        </a:xfrm>
                        <a:prstGeom prst="rect">
                          <a:avLst/>
                        </a:prstGeom>
                        <a:solidFill>
                          <a:sysClr val="window" lastClr="FFFFFF"/>
                        </a:solidFill>
                        <a:ln w="6350">
                          <a:noFill/>
                        </a:ln>
                        <a:effectLst/>
                      </wps:spPr>
                      <wps:txbx>
                        <w:txbxContent>
                          <w:p w14:paraId="2DC836AB" w14:textId="77777777" w:rsidR="006235C6" w:rsidRPr="006235C6" w:rsidRDefault="006235C6" w:rsidP="006235C6">
                            <w:pPr>
                              <w:spacing w:before="120" w:after="120"/>
                              <w:jc w:val="center"/>
                              <w:rPr>
                                <w:rFonts w:ascii="Times New Roman" w:hAnsi="Times New Roman" w:cs="Times New Roman"/>
                                <w:b/>
                                <w:bCs/>
                                <w:iCs/>
                                <w:color w:val="00B0F0"/>
                                <w:sz w:val="32"/>
                                <w:szCs w:val="32"/>
                              </w:rPr>
                            </w:pPr>
                            <w:r w:rsidRPr="006235C6">
                              <w:rPr>
                                <w:rFonts w:ascii="Times New Roman" w:hAnsi="Times New Roman" w:cs="Times New Roman"/>
                                <w:b/>
                                <w:bCs/>
                                <w:iCs/>
                                <w:color w:val="00B0F0"/>
                                <w:sz w:val="32"/>
                                <w:szCs w:val="32"/>
                              </w:rPr>
                              <w:t>Effect of Anti-Discrimination Laws on Workplace Diversity in the Corporate Sector in Tanzania</w:t>
                            </w:r>
                          </w:p>
                          <w:p w14:paraId="74E5F890" w14:textId="77777777" w:rsidR="006235C6" w:rsidRPr="006235C6" w:rsidRDefault="006235C6" w:rsidP="006235C6">
                            <w:pPr>
                              <w:spacing w:before="120" w:after="120"/>
                              <w:jc w:val="center"/>
                              <w:rPr>
                                <w:rFonts w:ascii="Times New Roman" w:hAnsi="Times New Roman" w:cs="Times New Roman"/>
                                <w:b/>
                                <w:bCs/>
                                <w:iCs/>
                                <w:color w:val="00B0F0"/>
                                <w:sz w:val="32"/>
                                <w:szCs w:val="32"/>
                              </w:rPr>
                            </w:pPr>
                          </w:p>
                          <w:p w14:paraId="357DA03A" w14:textId="77777777" w:rsidR="006235C6" w:rsidRPr="006235C6" w:rsidRDefault="006235C6" w:rsidP="006235C6">
                            <w:pPr>
                              <w:spacing w:before="120" w:after="120"/>
                              <w:jc w:val="center"/>
                              <w:rPr>
                                <w:rFonts w:ascii="Times New Roman" w:hAnsi="Times New Roman" w:cs="Times New Roman"/>
                                <w:i/>
                                <w:color w:val="00B0F0"/>
                                <w:sz w:val="32"/>
                                <w:szCs w:val="32"/>
                              </w:rPr>
                            </w:pPr>
                            <w:r w:rsidRPr="006235C6">
                              <w:rPr>
                                <w:rFonts w:ascii="Times New Roman" w:hAnsi="Times New Roman" w:cs="Times New Roman"/>
                                <w:b/>
                                <w:bCs/>
                                <w:iCs/>
                                <w:color w:val="00B0F0"/>
                                <w:sz w:val="32"/>
                                <w:szCs w:val="32"/>
                              </w:rPr>
                              <w:t xml:space="preserve">  </w:t>
                            </w:r>
                            <w:r w:rsidRPr="006235C6">
                              <w:rPr>
                                <w:rFonts w:ascii="Times New Roman" w:hAnsi="Times New Roman" w:cs="Times New Roman"/>
                                <w:bCs/>
                                <w:i/>
                                <w:iCs/>
                                <w:color w:val="00B0F0"/>
                                <w:sz w:val="28"/>
                                <w:szCs w:val="32"/>
                              </w:rPr>
                              <w:t xml:space="preserve">Johnson </w:t>
                            </w:r>
                            <w:proofErr w:type="spellStart"/>
                            <w:r w:rsidRPr="006235C6">
                              <w:rPr>
                                <w:rFonts w:ascii="Times New Roman" w:hAnsi="Times New Roman" w:cs="Times New Roman"/>
                                <w:bCs/>
                                <w:i/>
                                <w:iCs/>
                                <w:color w:val="00B0F0"/>
                                <w:sz w:val="28"/>
                                <w:szCs w:val="32"/>
                              </w:rPr>
                              <w:t>Werema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F73EB4" id="_x0000_t202" coordsize="21600,21600" o:spt="202" path="m,l,21600r21600,l21600,xe">
                <v:stroke joinstyle="miter"/>
                <v:path gradientshapeok="t" o:connecttype="rect"/>
              </v:shapetype>
              <v:shape id="Text Box 29" o:spid="_x0000_s1026" type="#_x0000_t202" style="position:absolute;margin-left:33.75pt;margin-top:550.7pt;width:398.25pt;height:13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" fillcolor="window" stroked="f" strokeweight=".5pt">
                <v:path arrowok="t"/>
                <v:textbox inset="0,0,0,0">
                  <w:txbxContent>
                    <w:p w:rsidR="006235C6" w:rsidRPr="006235C6" w:rsidRDefault="006235C6" w:rsidP="006235C6">
                      <w:pPr>
                        <w:spacing w:before="120" w:after="120"/>
                        <w:jc w:val="center"/>
                        <w:rPr>
                          <w:rFonts w:ascii="Times New Roman" w:hAnsi="Times New Roman" w:cs="Times New Roman"/>
                          <w:b/>
                          <w:bCs/>
                          <w:iCs/>
                          <w:color w:val="00B0F0"/>
                          <w:sz w:val="32"/>
                          <w:szCs w:val="32"/>
                        </w:rPr>
                      </w:pPr>
                      <w:r w:rsidRPr="006235C6">
                        <w:rPr>
                          <w:rFonts w:ascii="Times New Roman" w:hAnsi="Times New Roman" w:cs="Times New Roman"/>
                          <w:b/>
                          <w:bCs/>
                          <w:iCs/>
                          <w:color w:val="00B0F0"/>
                          <w:sz w:val="32"/>
                          <w:szCs w:val="32"/>
                        </w:rPr>
                        <w:t>Effect of Anti-Discrimination Laws on Workplace Diversity in the Corporate Sector in Tanzania</w:t>
                      </w:r>
                    </w:p>
                    <w:p w:rsidR="006235C6" w:rsidRPr="006235C6" w:rsidRDefault="006235C6" w:rsidP="006235C6">
                      <w:pPr>
                        <w:spacing w:before="120" w:after="120"/>
                        <w:jc w:val="center"/>
                        <w:rPr>
                          <w:rFonts w:ascii="Times New Roman" w:hAnsi="Times New Roman" w:cs="Times New Roman"/>
                          <w:b/>
                          <w:bCs/>
                          <w:iCs/>
                          <w:color w:val="00B0F0"/>
                          <w:sz w:val="32"/>
                          <w:szCs w:val="32"/>
                        </w:rPr>
                      </w:pPr>
                    </w:p>
                    <w:p w:rsidR="006235C6" w:rsidRPr="006235C6" w:rsidRDefault="006235C6" w:rsidP="006235C6">
                      <w:pPr>
                        <w:spacing w:before="120" w:after="120"/>
                        <w:jc w:val="center"/>
                        <w:rPr>
                          <w:rFonts w:ascii="Times New Roman" w:hAnsi="Times New Roman" w:cs="Times New Roman"/>
                          <w:i/>
                          <w:color w:val="00B0F0"/>
                          <w:sz w:val="32"/>
                          <w:szCs w:val="32"/>
                        </w:rPr>
                      </w:pPr>
                      <w:r w:rsidRPr="006235C6">
                        <w:rPr>
                          <w:rFonts w:ascii="Times New Roman" w:hAnsi="Times New Roman" w:cs="Times New Roman"/>
                          <w:b/>
                          <w:bCs/>
                          <w:iCs/>
                          <w:color w:val="00B0F0"/>
                          <w:sz w:val="32"/>
                          <w:szCs w:val="32"/>
                        </w:rPr>
                        <w:t xml:space="preserve">  </w:t>
                      </w:r>
                      <w:r w:rsidRPr="006235C6">
                        <w:rPr>
                          <w:rFonts w:ascii="Times New Roman" w:hAnsi="Times New Roman" w:cs="Times New Roman"/>
                          <w:bCs/>
                          <w:i/>
                          <w:iCs/>
                          <w:color w:val="00B0F0"/>
                          <w:sz w:val="28"/>
                          <w:szCs w:val="32"/>
                        </w:rPr>
                        <w:t xml:space="preserve">Johnson </w:t>
                      </w:r>
                      <w:proofErr w:type="spellStart"/>
                      <w:r w:rsidRPr="006235C6">
                        <w:rPr>
                          <w:rFonts w:ascii="Times New Roman" w:hAnsi="Times New Roman" w:cs="Times New Roman"/>
                          <w:bCs/>
                          <w:i/>
                          <w:iCs/>
                          <w:color w:val="00B0F0"/>
                          <w:sz w:val="28"/>
                          <w:szCs w:val="32"/>
                        </w:rPr>
                        <w:t>Werema</w:t>
                      </w:r>
                      <w:proofErr w:type="spellEnd"/>
                    </w:p>
                  </w:txbxContent>
                </v:textbox>
                <w10:wrap anchorx="page"/>
              </v:shape>
            </w:pict>
          </mc:Fallback>
        </mc:AlternateContent>
      </w:r>
      <w:r w:rsidR="00A83AEB">
        <w:rPr>
          <w:rFonts w:ascii="Times New Roman" w:hAnsi="Times New Roman" w:cs="Times New Roman"/>
          <w:b/>
          <w:sz w:val="24"/>
          <w:szCs w:val="24"/>
        </w:rPr>
        <w:br w:type="page"/>
      </w:r>
    </w:p>
    <w:p w14:paraId="209BA9A8" w14:textId="77777777" w:rsidR="00377D0A" w:rsidRPr="00524344" w:rsidRDefault="00377D0A" w:rsidP="00377D0A">
      <w:pPr>
        <w:jc w:val="center"/>
        <w:rPr>
          <w:rFonts w:ascii="Times New Roman" w:hAnsi="Times New Roman" w:cs="Times New Roman"/>
          <w:b/>
          <w:sz w:val="32"/>
          <w:szCs w:val="24"/>
        </w:rPr>
      </w:pPr>
      <w:r w:rsidRPr="00377D0A">
        <w:rPr>
          <w:rFonts w:ascii="Times New Roman" w:hAnsi="Times New Roman" w:cs="Times New Roman"/>
          <w:b/>
          <w:sz w:val="32"/>
          <w:szCs w:val="24"/>
        </w:rPr>
        <w:lastRenderedPageBreak/>
        <w:t xml:space="preserve">Effect of Anti-Discrimination Laws on Workplace Diversity in the Corporate Sector </w:t>
      </w:r>
      <w:r w:rsidRPr="00524344">
        <w:rPr>
          <w:rFonts w:ascii="Times New Roman" w:hAnsi="Times New Roman" w:cs="Times New Roman"/>
          <w:b/>
          <w:sz w:val="32"/>
          <w:szCs w:val="24"/>
        </w:rPr>
        <w:t xml:space="preserve">in </w:t>
      </w:r>
      <w:r>
        <w:rPr>
          <w:rFonts w:ascii="Times New Roman" w:hAnsi="Times New Roman" w:cs="Times New Roman"/>
          <w:b/>
          <w:sz w:val="32"/>
          <w:szCs w:val="24"/>
        </w:rPr>
        <w:t>Tanzania</w:t>
      </w:r>
    </w:p>
    <w:p w14:paraId="0EC84609" w14:textId="77777777" w:rsidR="00377D0A" w:rsidRPr="00524344" w:rsidRDefault="00377D0A" w:rsidP="00377D0A">
      <w:pPr>
        <w:jc w:val="center"/>
        <w:rPr>
          <w:rFonts w:ascii="Times New Roman" w:hAnsi="Times New Roman" w:cs="Times New Roman"/>
          <w:szCs w:val="24"/>
        </w:rPr>
      </w:pPr>
    </w:p>
    <w:p w14:paraId="34337CFF" w14:textId="77777777" w:rsidR="00377D0A" w:rsidRPr="0024160C" w:rsidRDefault="00377D0A" w:rsidP="00377D0A">
      <w:pPr>
        <w:spacing w:after="0" w:line="240" w:lineRule="auto"/>
        <w:jc w:val="center"/>
        <w:rPr>
          <w:rFonts w:ascii="Times New Roman" w:hAnsi="Times New Roman" w:cs="Times New Roman"/>
          <w:b/>
          <w:szCs w:val="24"/>
        </w:rPr>
      </w:pPr>
      <w:r w:rsidRPr="00524344">
        <w:rPr>
          <w:rFonts w:ascii="Times New Roman" w:hAnsi="Times New Roman" w:cs="Times New Roman"/>
          <w:noProof/>
          <w:szCs w:val="24"/>
        </w:rPr>
        <w:drawing>
          <wp:inline distT="0" distB="0" distL="0" distR="0" wp14:anchorId="79BAC0FB" wp14:editId="0C8A6961">
            <wp:extent cx="207010" cy="2070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r w:rsidRPr="00524344">
        <w:rPr>
          <w:sz w:val="20"/>
        </w:rPr>
        <w:t xml:space="preserve"> </w:t>
      </w:r>
      <w:bookmarkStart w:id="0" w:name="_GoBack"/>
      <w:r w:rsidRPr="0024160C">
        <w:rPr>
          <w:rFonts w:ascii="Times New Roman" w:hAnsi="Times New Roman" w:cs="Times New Roman"/>
          <w:b/>
          <w:szCs w:val="24"/>
        </w:rPr>
        <w:t xml:space="preserve">Johnson </w:t>
      </w:r>
      <w:proofErr w:type="spellStart"/>
      <w:r w:rsidRPr="0024160C">
        <w:rPr>
          <w:rFonts w:ascii="Times New Roman" w:hAnsi="Times New Roman" w:cs="Times New Roman"/>
          <w:b/>
          <w:szCs w:val="24"/>
        </w:rPr>
        <w:t>Werema</w:t>
      </w:r>
      <w:bookmarkEnd w:id="0"/>
      <w:proofErr w:type="spellEnd"/>
    </w:p>
    <w:p w14:paraId="364EFF2E" w14:textId="77777777" w:rsidR="00377D0A" w:rsidRPr="0024160C" w:rsidRDefault="0024160C" w:rsidP="00377D0A">
      <w:pPr>
        <w:spacing w:after="0" w:line="240" w:lineRule="auto"/>
        <w:jc w:val="center"/>
        <w:rPr>
          <w:rFonts w:ascii="Times New Roman" w:hAnsi="Times New Roman" w:cs="Times New Roman"/>
          <w:szCs w:val="24"/>
        </w:rPr>
      </w:pPr>
      <w:proofErr w:type="spellStart"/>
      <w:r w:rsidRPr="0024160C">
        <w:rPr>
          <w:rFonts w:ascii="Times New Roman" w:hAnsi="Times New Roman" w:cs="Times New Roman"/>
          <w:szCs w:val="24"/>
        </w:rPr>
        <w:t>Ruaha</w:t>
      </w:r>
      <w:proofErr w:type="spellEnd"/>
      <w:r w:rsidRPr="0024160C">
        <w:rPr>
          <w:rFonts w:ascii="Times New Roman" w:hAnsi="Times New Roman" w:cs="Times New Roman"/>
          <w:szCs w:val="24"/>
        </w:rPr>
        <w:t xml:space="preserve"> Catholic University</w:t>
      </w:r>
    </w:p>
    <w:p w14:paraId="0FA05890" w14:textId="77777777" w:rsidR="00377D0A" w:rsidRPr="00524344" w:rsidRDefault="00377D0A" w:rsidP="00377D0A">
      <w:pPr>
        <w:spacing w:after="0" w:line="240" w:lineRule="auto"/>
        <w:jc w:val="center"/>
        <w:rPr>
          <w:rFonts w:ascii="Times New Roman" w:hAnsi="Times New Roman" w:cs="Times New Roman"/>
          <w:szCs w:val="24"/>
          <w:u w:val="single"/>
        </w:rPr>
      </w:pPr>
      <w:r w:rsidRPr="00524344">
        <w:rPr>
          <w:rFonts w:ascii="Times New Roman" w:hAnsi="Times New Roman" w:cs="Times New Roman"/>
          <w:noProof/>
          <w:szCs w:val="24"/>
          <w:u w:val="single"/>
        </w:rPr>
        <w:drawing>
          <wp:inline distT="0" distB="0" distL="0" distR="0" wp14:anchorId="56904CC3" wp14:editId="0E4AF604">
            <wp:extent cx="838200" cy="323850"/>
            <wp:effectExtent l="0" t="0" r="0" b="0"/>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p w14:paraId="15723F6B" w14:textId="77777777" w:rsidR="00377D0A" w:rsidRPr="00524344" w:rsidRDefault="00377D0A" w:rsidP="00377D0A">
      <w:pPr>
        <w:spacing w:after="0" w:line="240" w:lineRule="auto"/>
        <w:jc w:val="center"/>
        <w:rPr>
          <w:rFonts w:ascii="Times New Roman" w:hAnsi="Times New Roman" w:cs="Times New Roman"/>
          <w:b/>
          <w:i/>
          <w:szCs w:val="24"/>
          <w:u w:val="single"/>
        </w:rPr>
      </w:pPr>
      <w:r w:rsidRPr="00524344">
        <w:rPr>
          <w:rFonts w:ascii="Times New Roman" w:hAnsi="Times New Roman" w:cs="Times New Roman"/>
          <w:b/>
          <w:i/>
          <w:szCs w:val="24"/>
          <w:u w:val="single"/>
        </w:rPr>
        <w:t>Article history</w:t>
      </w:r>
    </w:p>
    <w:p w14:paraId="5AF79AB3" w14:textId="77777777" w:rsidR="00377D0A" w:rsidRPr="00524344" w:rsidRDefault="00377D0A" w:rsidP="00377D0A">
      <w:pPr>
        <w:spacing w:after="0" w:line="240" w:lineRule="auto"/>
        <w:jc w:val="center"/>
        <w:rPr>
          <w:rFonts w:ascii="Times New Roman" w:hAnsi="Times New Roman" w:cs="Times New Roman"/>
          <w:szCs w:val="24"/>
        </w:rPr>
      </w:pPr>
      <w:r w:rsidRPr="00524344">
        <w:rPr>
          <w:rFonts w:ascii="Times New Roman" w:hAnsi="Times New Roman" w:cs="Times New Roman"/>
          <w:i/>
          <w:szCs w:val="24"/>
          <w:u w:val="single"/>
        </w:rPr>
        <w:t>Submitted 09.05.2024 Revised Version Received 1</w:t>
      </w:r>
      <w:r w:rsidRPr="0024160C">
        <w:rPr>
          <w:rFonts w:ascii="Times New Roman" w:hAnsi="Times New Roman" w:cs="Times New Roman"/>
          <w:i/>
          <w:szCs w:val="24"/>
          <w:u w:val="single"/>
        </w:rPr>
        <w:t>3</w:t>
      </w:r>
      <w:r w:rsidRPr="00524344">
        <w:rPr>
          <w:rFonts w:ascii="Times New Roman" w:hAnsi="Times New Roman" w:cs="Times New Roman"/>
          <w:i/>
          <w:szCs w:val="24"/>
          <w:u w:val="single"/>
        </w:rPr>
        <w:t>.06</w:t>
      </w:r>
      <w:r w:rsidRPr="0024160C">
        <w:rPr>
          <w:rFonts w:ascii="Times New Roman" w:hAnsi="Times New Roman" w:cs="Times New Roman"/>
          <w:i/>
          <w:szCs w:val="24"/>
          <w:u w:val="single"/>
        </w:rPr>
        <w:t>.2024 Accepted 15</w:t>
      </w:r>
      <w:r w:rsidRPr="00524344">
        <w:rPr>
          <w:rFonts w:ascii="Times New Roman" w:hAnsi="Times New Roman" w:cs="Times New Roman"/>
          <w:i/>
          <w:szCs w:val="24"/>
          <w:u w:val="single"/>
        </w:rPr>
        <w:t>.07.2024</w:t>
      </w:r>
    </w:p>
    <w:p w14:paraId="67F6B305" w14:textId="77777777" w:rsidR="00377D0A" w:rsidRPr="00524344" w:rsidRDefault="00377D0A" w:rsidP="00377D0A">
      <w:pPr>
        <w:rPr>
          <w:rFonts w:ascii="Times New Roman" w:hAnsi="Times New Roman" w:cs="Times New Roman"/>
          <w:szCs w:val="24"/>
        </w:rPr>
      </w:pPr>
    </w:p>
    <w:p w14:paraId="7E3EB987" w14:textId="77777777" w:rsidR="00377D0A" w:rsidRPr="00524344" w:rsidRDefault="00377D0A" w:rsidP="00377D0A">
      <w:pPr>
        <w:jc w:val="center"/>
        <w:rPr>
          <w:rFonts w:ascii="Times New Roman" w:hAnsi="Times New Roman" w:cs="Times New Roman"/>
          <w:b/>
          <w:szCs w:val="24"/>
        </w:rPr>
      </w:pPr>
      <w:r w:rsidRPr="00524344">
        <w:rPr>
          <w:rFonts w:ascii="Times New Roman" w:hAnsi="Times New Roman" w:cs="Times New Roman"/>
          <w:b/>
          <w:szCs w:val="24"/>
        </w:rPr>
        <w:t>Abstract</w:t>
      </w:r>
    </w:p>
    <w:p w14:paraId="476073C4" w14:textId="77777777" w:rsidR="0024160C" w:rsidRPr="0024160C" w:rsidRDefault="0024160C" w:rsidP="00377D0A">
      <w:pPr>
        <w:jc w:val="both"/>
        <w:rPr>
          <w:rFonts w:ascii="Times New Roman" w:hAnsi="Times New Roman" w:cs="Times New Roman"/>
          <w:b/>
          <w:szCs w:val="24"/>
        </w:rPr>
        <w:sectPr w:rsidR="0024160C" w:rsidRPr="0024160C" w:rsidSect="00A3444A">
          <w:headerReference w:type="default" r:id="rId12"/>
          <w:footerReference w:type="default" r:id="rId13"/>
          <w:pgSz w:w="12240" w:h="15840"/>
          <w:pgMar w:top="1440" w:right="1440" w:bottom="1440" w:left="1440" w:header="708" w:footer="708" w:gutter="0"/>
          <w:pgNumType w:start="10"/>
          <w:cols w:space="708"/>
          <w:titlePg/>
          <w:docGrid w:linePitch="360"/>
        </w:sectPr>
      </w:pPr>
    </w:p>
    <w:p w14:paraId="5A460CA1" w14:textId="77777777" w:rsidR="00377D0A" w:rsidRPr="00524344" w:rsidRDefault="00377D0A" w:rsidP="00377D0A">
      <w:pPr>
        <w:jc w:val="both"/>
        <w:rPr>
          <w:rFonts w:ascii="Times New Roman" w:hAnsi="Times New Roman" w:cs="Times New Roman"/>
          <w:szCs w:val="24"/>
        </w:rPr>
      </w:pPr>
      <w:r w:rsidRPr="00524344">
        <w:rPr>
          <w:rFonts w:ascii="Times New Roman" w:hAnsi="Times New Roman" w:cs="Times New Roman"/>
          <w:b/>
          <w:szCs w:val="24"/>
        </w:rPr>
        <w:lastRenderedPageBreak/>
        <w:t>Purpose:</w:t>
      </w:r>
      <w:r w:rsidRPr="00524344">
        <w:rPr>
          <w:rFonts w:ascii="Times New Roman" w:hAnsi="Times New Roman" w:cs="Times New Roman"/>
          <w:szCs w:val="24"/>
        </w:rPr>
        <w:t xml:space="preserve"> The aim of the study was to assess the </w:t>
      </w:r>
      <w:r w:rsidR="0024160C" w:rsidRPr="0024160C">
        <w:rPr>
          <w:rFonts w:ascii="Times New Roman" w:hAnsi="Times New Roman" w:cs="Times New Roman"/>
          <w:szCs w:val="24"/>
        </w:rPr>
        <w:t>effect of anti-discrimination laws on workplace diversity in the corporate sector in Tanzania</w:t>
      </w:r>
      <w:r w:rsidRPr="00524344">
        <w:rPr>
          <w:rFonts w:ascii="Times New Roman" w:hAnsi="Times New Roman" w:cs="Times New Roman"/>
          <w:szCs w:val="24"/>
        </w:rPr>
        <w:t>.</w:t>
      </w:r>
    </w:p>
    <w:p w14:paraId="4C5F61F1" w14:textId="77777777" w:rsidR="00377D0A" w:rsidRPr="00524344" w:rsidRDefault="00377D0A" w:rsidP="00377D0A">
      <w:pPr>
        <w:jc w:val="both"/>
        <w:rPr>
          <w:rFonts w:ascii="Times New Roman" w:hAnsi="Times New Roman" w:cs="Times New Roman"/>
          <w:szCs w:val="24"/>
        </w:rPr>
      </w:pPr>
      <w:r w:rsidRPr="00524344">
        <w:rPr>
          <w:rFonts w:ascii="Times New Roman" w:hAnsi="Times New Roman" w:cs="Times New Roman"/>
          <w:b/>
          <w:szCs w:val="24"/>
        </w:rPr>
        <w:t>Materials and Methods:</w:t>
      </w:r>
      <w:r w:rsidRPr="00524344">
        <w:rPr>
          <w:rFonts w:ascii="Times New Roman" w:hAnsi="Times New Roman" w:cs="Times New Roman"/>
          <w:szCs w:val="24"/>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 </w:t>
      </w:r>
    </w:p>
    <w:p w14:paraId="023D3225" w14:textId="77777777" w:rsidR="00377D0A" w:rsidRPr="00524344" w:rsidRDefault="00377D0A" w:rsidP="0024160C">
      <w:pPr>
        <w:jc w:val="both"/>
        <w:rPr>
          <w:rFonts w:ascii="Times New Roman" w:hAnsi="Times New Roman" w:cs="Times New Roman"/>
          <w:szCs w:val="24"/>
        </w:rPr>
      </w:pPr>
      <w:r w:rsidRPr="00524344">
        <w:rPr>
          <w:rFonts w:ascii="Times New Roman" w:hAnsi="Times New Roman" w:cs="Times New Roman"/>
          <w:b/>
          <w:szCs w:val="24"/>
        </w:rPr>
        <w:t>Findings:</w:t>
      </w:r>
      <w:r w:rsidRPr="00524344">
        <w:rPr>
          <w:rFonts w:ascii="Times New Roman" w:hAnsi="Times New Roman" w:cs="Times New Roman"/>
          <w:szCs w:val="24"/>
        </w:rPr>
        <w:t xml:space="preserve"> The study found </w:t>
      </w:r>
      <w:r w:rsidR="0024160C" w:rsidRPr="0024160C">
        <w:rPr>
          <w:rFonts w:ascii="Times New Roman" w:hAnsi="Times New Roman" w:cs="Times New Roman"/>
          <w:szCs w:val="24"/>
        </w:rPr>
        <w:t xml:space="preserve">that the implementation of anti-discrimination policies has led to increased representation of minority groups in various corporate roles. Companies adhering to these laws tend to foster a culture of inclusivity, which can enhance employee morale, creativity, and productivity. Moreover, diverse workplaces benefit from a broader range of perspectives, leading to better problem-solving and innovation. Studies have shown that firms with strong anti-discrimination policies often experience lower turnover rates and higher employee satisfaction. However, the effectiveness of these laws largely depends on </w:t>
      </w:r>
      <w:r w:rsidR="0024160C" w:rsidRPr="0024160C">
        <w:rPr>
          <w:rFonts w:ascii="Times New Roman" w:hAnsi="Times New Roman" w:cs="Times New Roman"/>
          <w:szCs w:val="24"/>
        </w:rPr>
        <w:lastRenderedPageBreak/>
        <w:t>their enforcement and the genuine commitment of corporate leadership to diversity and inclusion initiatives. Despite progress, challenges remain, such as implicit biases and resistance to change, which require continuous effort and education to overcome. Overall, anti-discrimination laws have positively influenced workplace diversity, promoting fair treatment and opportunities for all employees.</w:t>
      </w:r>
    </w:p>
    <w:p w14:paraId="00B975E2" w14:textId="77777777" w:rsidR="00377D0A" w:rsidRPr="0024160C" w:rsidRDefault="00377D0A" w:rsidP="00377D0A">
      <w:pPr>
        <w:jc w:val="both"/>
        <w:rPr>
          <w:rFonts w:ascii="Times New Roman" w:hAnsi="Times New Roman" w:cs="Times New Roman"/>
          <w:szCs w:val="24"/>
        </w:rPr>
      </w:pPr>
      <w:r w:rsidRPr="00524344">
        <w:rPr>
          <w:rFonts w:ascii="Times New Roman" w:hAnsi="Times New Roman" w:cs="Times New Roman"/>
          <w:b/>
          <w:szCs w:val="24"/>
        </w:rPr>
        <w:t>Implications to Theory, Practice and Policy:</w:t>
      </w:r>
      <w:r w:rsidRPr="00524344">
        <w:rPr>
          <w:rFonts w:ascii="Times New Roman" w:hAnsi="Times New Roman" w:cs="Times New Roman"/>
          <w:szCs w:val="24"/>
        </w:rPr>
        <w:t xml:space="preserve"> </w:t>
      </w:r>
      <w:r w:rsidR="0024160C" w:rsidRPr="0024160C">
        <w:rPr>
          <w:rFonts w:ascii="Times New Roman" w:hAnsi="Times New Roman" w:cs="Times New Roman"/>
          <w:szCs w:val="24"/>
        </w:rPr>
        <w:t>Social identity theory, institutional theory and critical race theory</w:t>
      </w:r>
      <w:r w:rsidRPr="0024160C">
        <w:rPr>
          <w:rFonts w:ascii="Times New Roman" w:hAnsi="Times New Roman" w:cs="Times New Roman"/>
          <w:szCs w:val="24"/>
        </w:rPr>
        <w:t xml:space="preserve"> </w:t>
      </w:r>
      <w:r w:rsidRPr="00524344">
        <w:rPr>
          <w:rFonts w:ascii="Times New Roman" w:hAnsi="Times New Roman" w:cs="Times New Roman"/>
          <w:szCs w:val="24"/>
        </w:rPr>
        <w:t xml:space="preserve">may be used to anchor future studies on assessing the </w:t>
      </w:r>
      <w:r w:rsidR="0024160C" w:rsidRPr="0024160C">
        <w:rPr>
          <w:rFonts w:ascii="Times New Roman" w:hAnsi="Times New Roman" w:cs="Times New Roman"/>
          <w:szCs w:val="24"/>
        </w:rPr>
        <w:t>effect of anti-discrimination laws on workplace diversity in the corporate sector in Tanzania</w:t>
      </w:r>
      <w:r w:rsidRPr="00524344">
        <w:rPr>
          <w:rFonts w:ascii="Times New Roman" w:hAnsi="Times New Roman" w:cs="Times New Roman"/>
          <w:szCs w:val="24"/>
        </w:rPr>
        <w:t xml:space="preserve">. </w:t>
      </w:r>
      <w:r w:rsidR="0024160C" w:rsidRPr="0024160C">
        <w:rPr>
          <w:rFonts w:ascii="Times New Roman" w:hAnsi="Times New Roman" w:cs="Times New Roman"/>
          <w:szCs w:val="24"/>
        </w:rPr>
        <w:t xml:space="preserve">In practice, organizations should enhance diversity training and awareness programs to transcend mere legal compliance and foster genuine cultural competence among employees and leaders. From a policy perspective, advocating for enhanced enforcement and monitoring of anti-discrimination laws is essential to ensure compliance across all levels of organizations. </w:t>
      </w:r>
      <w:r w:rsidRPr="0024160C">
        <w:rPr>
          <w:rFonts w:ascii="Times New Roman" w:hAnsi="Times New Roman" w:cs="Times New Roman"/>
          <w:szCs w:val="24"/>
        </w:rPr>
        <w:t xml:space="preserve"> </w:t>
      </w:r>
    </w:p>
    <w:p w14:paraId="65EC1AAB" w14:textId="77777777" w:rsidR="0024160C" w:rsidRPr="0024160C" w:rsidRDefault="00377D0A" w:rsidP="00377D0A">
      <w:pPr>
        <w:rPr>
          <w:rFonts w:ascii="Times New Roman" w:hAnsi="Times New Roman" w:cs="Times New Roman"/>
          <w:i/>
          <w:szCs w:val="24"/>
        </w:rPr>
        <w:sectPr w:rsidR="0024160C" w:rsidRPr="0024160C" w:rsidSect="0024160C">
          <w:type w:val="continuous"/>
          <w:pgSz w:w="12240" w:h="15840"/>
          <w:pgMar w:top="1440" w:right="1440" w:bottom="1440" w:left="1440" w:header="708" w:footer="708" w:gutter="0"/>
          <w:cols w:num="2" w:space="708"/>
          <w:docGrid w:linePitch="360"/>
        </w:sectPr>
      </w:pPr>
      <w:r w:rsidRPr="00524344">
        <w:rPr>
          <w:rFonts w:ascii="Times New Roman" w:hAnsi="Times New Roman" w:cs="Times New Roman"/>
          <w:b/>
          <w:szCs w:val="24"/>
        </w:rPr>
        <w:t>Keywords:</w:t>
      </w:r>
      <w:r w:rsidRPr="00524344">
        <w:rPr>
          <w:rFonts w:ascii="Times New Roman" w:hAnsi="Times New Roman" w:cs="Times New Roman"/>
          <w:szCs w:val="24"/>
        </w:rPr>
        <w:t xml:space="preserve"> </w:t>
      </w:r>
      <w:r w:rsidR="0024160C" w:rsidRPr="0024160C">
        <w:rPr>
          <w:rFonts w:ascii="Times New Roman" w:hAnsi="Times New Roman" w:cs="Times New Roman"/>
          <w:i/>
          <w:szCs w:val="24"/>
        </w:rPr>
        <w:t xml:space="preserve">Anti-Discrimination Laws, Workplace Diversity, Corporate Sector </w:t>
      </w:r>
    </w:p>
    <w:p w14:paraId="2DC81278" w14:textId="77777777" w:rsidR="00A83AEB" w:rsidRDefault="00A83AEB" w:rsidP="00377D0A">
      <w:pP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6F795218" w14:textId="77777777" w:rsidR="00A83AEB" w:rsidRPr="00A83AEB" w:rsidRDefault="00A83AEB" w:rsidP="00A83AEB">
      <w:pPr>
        <w:spacing w:before="100" w:after="100" w:line="240" w:lineRule="auto"/>
        <w:jc w:val="both"/>
        <w:rPr>
          <w:rFonts w:ascii="Times New Roman" w:hAnsi="Times New Roman" w:cs="Times New Roman"/>
          <w:b/>
          <w:sz w:val="24"/>
          <w:szCs w:val="24"/>
        </w:rPr>
      </w:pPr>
      <w:r w:rsidRPr="00A83AEB">
        <w:rPr>
          <w:rFonts w:ascii="Times New Roman" w:hAnsi="Times New Roman" w:cs="Times New Roman"/>
          <w:b/>
          <w:sz w:val="24"/>
          <w:szCs w:val="24"/>
        </w:rPr>
        <w:lastRenderedPageBreak/>
        <w:t>INTRODUCTION</w:t>
      </w:r>
    </w:p>
    <w:p w14:paraId="1C4F4E05" w14:textId="77777777" w:rsidR="00575E08" w:rsidRPr="00AD4F53" w:rsidRDefault="0024160C" w:rsidP="00AD4F53">
      <w:pPr>
        <w:spacing w:before="100" w:after="100" w:line="240" w:lineRule="auto"/>
        <w:jc w:val="both"/>
        <w:rPr>
          <w:rFonts w:ascii="Times New Roman" w:hAnsi="Times New Roman" w:cs="Times New Roman"/>
          <w:sz w:val="24"/>
          <w:szCs w:val="24"/>
        </w:rPr>
      </w:pPr>
      <w:r w:rsidRPr="0024160C">
        <w:rPr>
          <w:rFonts w:ascii="Times New Roman" w:hAnsi="Times New Roman" w:cs="Times New Roman"/>
          <w:sz w:val="24"/>
          <w:szCs w:val="24"/>
        </w:rPr>
        <w:t>The introduction of anti-discrimination laws has significantly shaped workplace diversity in the corporate sector.</w:t>
      </w:r>
      <w:r>
        <w:rPr>
          <w:rFonts w:ascii="Times New Roman" w:hAnsi="Times New Roman" w:cs="Times New Roman"/>
          <w:sz w:val="24"/>
          <w:szCs w:val="24"/>
        </w:rPr>
        <w:t xml:space="preserve"> </w:t>
      </w:r>
      <w:r w:rsidR="00575E08" w:rsidRPr="00AD4F53">
        <w:rPr>
          <w:rFonts w:ascii="Times New Roman" w:hAnsi="Times New Roman" w:cs="Times New Roman"/>
          <w:sz w:val="24"/>
          <w:szCs w:val="24"/>
        </w:rPr>
        <w:t>Workplace diversity in developed economies like the USA and Japan has seen a significant shift in recent years. In the USA, the representation of minority groups has been steadily increasing, with the diversity index rising to 61.1% in 2020, up from 54.9% in 2010. This trend indicates a growing inclusion of racial and ethnic minorities in the workforce. For instance, the representation of African Americans in management positions has grown to 8.8%, while Hispanic representation has reached 9.6% as of 2021 (Frye, 2021). Similarly, in Japan, diversity efforts have focused on increasing female participation in the workforce, with the percentage of women in leadership roles rising to 15.5% in 2021, compared to 7.5% in 2010 (Kato, 2021).</w:t>
      </w:r>
    </w:p>
    <w:p w14:paraId="2970CD7D"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developing economies, workplace diversity is also evolving, although at a different pace and scale compared to developed nations. In Brazil, for example, the diversity index has improved, with Afro-Brazilians now representing 30% of the workforce, up from 20% a decade ago. Moreover, the country has introduced policies to enhance gender diversity, resulting in women holding 18% of executive positions in 2022 (</w:t>
      </w:r>
      <w:proofErr w:type="spellStart"/>
      <w:r w:rsidRPr="00AD4F53">
        <w:rPr>
          <w:rFonts w:ascii="Times New Roman" w:hAnsi="Times New Roman" w:cs="Times New Roman"/>
          <w:sz w:val="24"/>
          <w:szCs w:val="24"/>
        </w:rPr>
        <w:t>Neri</w:t>
      </w:r>
      <w:proofErr w:type="spellEnd"/>
      <w:r w:rsidRPr="00AD4F53">
        <w:rPr>
          <w:rFonts w:ascii="Times New Roman" w:hAnsi="Times New Roman" w:cs="Times New Roman"/>
          <w:sz w:val="24"/>
          <w:szCs w:val="24"/>
        </w:rPr>
        <w:t>, 2022). In India, the diversity landscape is characterized by a notable increase in the employment of women in tech industries, with female representation in IT roles climbing to 34% in 2021 from 26% in 2015 (Patel, 2021). These trends highlight the ongoing efforts and progress in fostering a more inclusive work environment in these regions.</w:t>
      </w:r>
    </w:p>
    <w:p w14:paraId="67880CAC"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addition to Brazil and India, other developing economies have also seen progress in workplace diversity. In China, diversity initiatives have led to an increase in the representation of women and ethnic minorities in the workforce. As of 2022, women hold 27% of senior management positions, up from 21% in 2015, and ethnic minorities constitute 9% of the workforce, reflecting government policies aimed at promoting diversity (Li, 2022). In Mexico, the diversity index has improved, with indigenous populations now representing 15% of the formal workforce, compared to 10% a decade ago. Additionally, gender diversity has seen an uptick, with women occupying 20% of leadership roles in 2022, a significant rise from 12% in 2010 (Gomez, 2022).</w:t>
      </w:r>
    </w:p>
    <w:p w14:paraId="695B21A3"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China, diversity initiatives have led to an increase in the representation of women and ethnic minorities in the workforce. As of 2022, women hold 27% of senior management positions, up from 21% in 2015, and ethnic minorities constitute 9% of the workforce, reflecting government policies aimed at promoting diversity (Li, 2022). In Mexico, the diversity index has improved, with indigenous populations now representing 15% of the formal workforce, compared to 10% a decade ago. Additionally, gender diversity has seen an uptick, with women occupying 20% of leadership roles in 2022, a significant rise from 12% in 2010 (Gomez, 2022).</w:t>
      </w:r>
    </w:p>
    <w:p w14:paraId="68264D6B"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Indonesia, workplace diversity efforts have focused on both gender and ethnic representation. The percentage of women in executive roles has increased to 22% in 2021, compared to 16% in 2010. Furthermore, the inclusion of ethnic minorities in the workforce has been emphasized, resulting in a 25% representation of various ethnic groups in formal employment sectors (Rahman, 2022). Similarly, in Turkey, the diversity landscape is evolving, with women making up 30% of the workforce and holding 17% of senior positions as of 2021, up from 10% in 2010. Ethnic diversity is also improving, with Kurdish representation in the workforce rising to 13% (</w:t>
      </w:r>
      <w:proofErr w:type="spellStart"/>
      <w:r w:rsidRPr="00AD4F53">
        <w:rPr>
          <w:rFonts w:ascii="Times New Roman" w:hAnsi="Times New Roman" w:cs="Times New Roman"/>
          <w:sz w:val="24"/>
          <w:szCs w:val="24"/>
        </w:rPr>
        <w:t>Demir</w:t>
      </w:r>
      <w:proofErr w:type="spellEnd"/>
      <w:r w:rsidRPr="00AD4F53">
        <w:rPr>
          <w:rFonts w:ascii="Times New Roman" w:hAnsi="Times New Roman" w:cs="Times New Roman"/>
          <w:sz w:val="24"/>
          <w:szCs w:val="24"/>
        </w:rPr>
        <w:t>, 2022). These trends highlight the ongoing efforts to enhance workplace diversity and inclusion in developing economies.</w:t>
      </w:r>
    </w:p>
    <w:p w14:paraId="2074EE98"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lastRenderedPageBreak/>
        <w:t>In Kenya, for example, workplace diversity initiatives have led to an increase in the representation of women and various ethnic groups in the workforce. As of 2022, women hold 25% of senior management positions, up from 18% in 2015, and ethnic minorities constitute 20% of the workforce, reflecting efforts to promote inclusivity (</w:t>
      </w:r>
      <w:proofErr w:type="spellStart"/>
      <w:r w:rsidRPr="00AD4F53">
        <w:rPr>
          <w:rFonts w:ascii="Times New Roman" w:hAnsi="Times New Roman" w:cs="Times New Roman"/>
          <w:sz w:val="24"/>
          <w:szCs w:val="24"/>
        </w:rPr>
        <w:t>Mwangi</w:t>
      </w:r>
      <w:proofErr w:type="spellEnd"/>
      <w:r w:rsidRPr="00AD4F53">
        <w:rPr>
          <w:rFonts w:ascii="Times New Roman" w:hAnsi="Times New Roman" w:cs="Times New Roman"/>
          <w:sz w:val="24"/>
          <w:szCs w:val="24"/>
        </w:rPr>
        <w:t>, 2022). In Ghana, the diversity index has shown improvement, with women making up 32% of the formal workforce and holding 21% of leadership roles as of 2021, compared to 14% in 2010. Ethnic diversity has also seen positive changes, with representation from various ethnic groups increasing to 30% in formal employment sectors (</w:t>
      </w:r>
      <w:proofErr w:type="spellStart"/>
      <w:r w:rsidRPr="00AD4F53">
        <w:rPr>
          <w:rFonts w:ascii="Times New Roman" w:hAnsi="Times New Roman" w:cs="Times New Roman"/>
          <w:sz w:val="24"/>
          <w:szCs w:val="24"/>
        </w:rPr>
        <w:t>Adjei</w:t>
      </w:r>
      <w:proofErr w:type="spellEnd"/>
      <w:r w:rsidRPr="00AD4F53">
        <w:rPr>
          <w:rFonts w:ascii="Times New Roman" w:hAnsi="Times New Roman" w:cs="Times New Roman"/>
          <w:sz w:val="24"/>
          <w:szCs w:val="24"/>
        </w:rPr>
        <w:t>, 2021).</w:t>
      </w:r>
    </w:p>
    <w:p w14:paraId="40F20633"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Uganda, diversity efforts have focused on both gender and ethnic inclusion. The percentage of women in executive roles has increased to 19% in 2021, compared to 12% in 2010. Furthermore, the inclusion of ethnic minorities in the workforce has been emphasized, resulting in a 22% representation of various ethnic groups in formal employment sectors (</w:t>
      </w:r>
      <w:proofErr w:type="spellStart"/>
      <w:r w:rsidRPr="00AD4F53">
        <w:rPr>
          <w:rFonts w:ascii="Times New Roman" w:hAnsi="Times New Roman" w:cs="Times New Roman"/>
          <w:sz w:val="24"/>
          <w:szCs w:val="24"/>
        </w:rPr>
        <w:t>Nsubuga</w:t>
      </w:r>
      <w:proofErr w:type="spellEnd"/>
      <w:r w:rsidRPr="00AD4F53">
        <w:rPr>
          <w:rFonts w:ascii="Times New Roman" w:hAnsi="Times New Roman" w:cs="Times New Roman"/>
          <w:sz w:val="24"/>
          <w:szCs w:val="24"/>
        </w:rPr>
        <w:t>, 2022). Similarly, in Tanzania, the diversity landscape is evolving, with women making up 28% of the workforce and holding 15% of senior positions as of 2021, up from 10% in 2010. Ethnic diversity is also improving, with representation from different ethnic groups rising to 24% (</w:t>
      </w:r>
      <w:proofErr w:type="spellStart"/>
      <w:r w:rsidRPr="00AD4F53">
        <w:rPr>
          <w:rFonts w:ascii="Times New Roman" w:hAnsi="Times New Roman" w:cs="Times New Roman"/>
          <w:sz w:val="24"/>
          <w:szCs w:val="24"/>
        </w:rPr>
        <w:t>Mwakyembe</w:t>
      </w:r>
      <w:proofErr w:type="spellEnd"/>
      <w:r w:rsidRPr="00AD4F53">
        <w:rPr>
          <w:rFonts w:ascii="Times New Roman" w:hAnsi="Times New Roman" w:cs="Times New Roman"/>
          <w:sz w:val="24"/>
          <w:szCs w:val="24"/>
        </w:rPr>
        <w:t>, 2022). These trends highlight the ongoing efforts to enhance workplace diversity and inclusion in Sub-Saharan Africa.</w:t>
      </w:r>
    </w:p>
    <w:p w14:paraId="1FE4A939" w14:textId="77777777" w:rsidR="00575E08" w:rsidRPr="00AD4F53" w:rsidRDefault="00575E08"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Sub-Saharan economies have also seen gradual improvements in workplace diversity, though challenges remain. In South Africa, the diversity index has shown positive movement, with Black Africans constituting 79% of the employed population in 2021, reflecting the country's post-apartheid policies aimed at redressing past inequalities (</w:t>
      </w:r>
      <w:proofErr w:type="spellStart"/>
      <w:r w:rsidRPr="00AD4F53">
        <w:rPr>
          <w:rFonts w:ascii="Times New Roman" w:hAnsi="Times New Roman" w:cs="Times New Roman"/>
          <w:sz w:val="24"/>
          <w:szCs w:val="24"/>
        </w:rPr>
        <w:t>Baloyi</w:t>
      </w:r>
      <w:proofErr w:type="spellEnd"/>
      <w:r w:rsidRPr="00AD4F53">
        <w:rPr>
          <w:rFonts w:ascii="Times New Roman" w:hAnsi="Times New Roman" w:cs="Times New Roman"/>
          <w:sz w:val="24"/>
          <w:szCs w:val="24"/>
        </w:rPr>
        <w:t>, 2021). Additionally, the representation of women in leadership positions has increased, with 28% of senior roles occupied by women in 2021, up from 23% in 2015 (</w:t>
      </w:r>
      <w:proofErr w:type="spellStart"/>
      <w:r w:rsidRPr="00AD4F53">
        <w:rPr>
          <w:rFonts w:ascii="Times New Roman" w:hAnsi="Times New Roman" w:cs="Times New Roman"/>
          <w:sz w:val="24"/>
          <w:szCs w:val="24"/>
        </w:rPr>
        <w:t>Moyo</w:t>
      </w:r>
      <w:proofErr w:type="spellEnd"/>
      <w:r w:rsidRPr="00AD4F53">
        <w:rPr>
          <w:rFonts w:ascii="Times New Roman" w:hAnsi="Times New Roman" w:cs="Times New Roman"/>
          <w:sz w:val="24"/>
          <w:szCs w:val="24"/>
        </w:rPr>
        <w:t>, 2021). Nigeria, another key economy in the region, has experienced a rise in ethnic diversity in the corporate sector, with a 40% increase in representation of minority ethnic groups in formal employment between 2015 and 2020 (</w:t>
      </w:r>
      <w:proofErr w:type="spellStart"/>
      <w:r w:rsidRPr="00AD4F53">
        <w:rPr>
          <w:rFonts w:ascii="Times New Roman" w:hAnsi="Times New Roman" w:cs="Times New Roman"/>
          <w:sz w:val="24"/>
          <w:szCs w:val="24"/>
        </w:rPr>
        <w:t>Ogunleye</w:t>
      </w:r>
      <w:proofErr w:type="spellEnd"/>
      <w:r w:rsidRPr="00AD4F53">
        <w:rPr>
          <w:rFonts w:ascii="Times New Roman" w:hAnsi="Times New Roman" w:cs="Times New Roman"/>
          <w:sz w:val="24"/>
          <w:szCs w:val="24"/>
        </w:rPr>
        <w:t>, 2022). These developments underscore the strides being made towards a more diverse and inclusive workforce in Sub-Saharan Africa.</w:t>
      </w:r>
    </w:p>
    <w:p w14:paraId="223CA941" w14:textId="77777777"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The enforcement of anti-discrimination laws plays a critical role in promoting workplace diversity by ensuring the fair treatment of all employees, regardless of their background. Four key enforcement mechanisms include affirmative action, equal employment opportunity (EEO) policies, workplace diversity training, and anti-discrimination legal frameworks. Affirmative action policies, which mandate the inclusion of underrepresented groups, directly contribute to increased representation of minority groups in the workforce (Smith, 2020). EEO policies, enforced by regulatory bodies such as the Equal Employment Opportunity Commission (EEOC) in the USA, help prevent discriminatory practices and promote a balanced diversity index (Jones, 2019). Workplace diversity training programs are designed to educate employees on the importance of inclusivity, fostering a more accepting and diverse workplace environment (Brown, 2021).</w:t>
      </w:r>
    </w:p>
    <w:p w14:paraId="0C35E946" w14:textId="77777777"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 xml:space="preserve">Anti-discrimination legal frameworks, such as the Civil Rights Act in the USA or the Equality Act in the UK, provide legal recourse for individuals facing discrimination, thus upholding workplace diversity (Taylor, 2022). These laws and their enforcement mechanisms are essential for maintaining a fair and inclusive workplace where minority groups are adequately represented. For instance, the enforcement of such laws has led to a significant increase in the representation of women and ethnic minorities in management roles, contributing to a higher diversity index (Clark, </w:t>
      </w:r>
      <w:r w:rsidRPr="00AD4F53">
        <w:rPr>
          <w:rFonts w:ascii="Times New Roman" w:hAnsi="Times New Roman" w:cs="Times New Roman"/>
          <w:sz w:val="24"/>
          <w:szCs w:val="24"/>
        </w:rPr>
        <w:lastRenderedPageBreak/>
        <w:t>2018). Additionally, regular audits and compliance checks ensure that organizations adhere to these policies, promoting a culture of diversity and inclusion (Williams, 2020). Overall, the rigorous enforcement of anti-discrimination laws is integral to achieving and sustaining workplace diversity.</w:t>
      </w:r>
    </w:p>
    <w:p w14:paraId="0B42E0EC" w14:textId="77777777" w:rsidR="00243671" w:rsidRPr="00AD4F53"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t>Problem Statement</w:t>
      </w:r>
    </w:p>
    <w:p w14:paraId="1FBB83F2" w14:textId="77777777"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Despite the implementation of comprehensive anti-discrimination laws designed to foster workplace diversity, many corporate sectors continue to experience significant disparities in the representation of minority groups. Research indicates that while these laws have led to some improvements, the overall impact on workplace diversity has been inconsistent and varies widely across different industries and regions (Smith, 2020). Moreover, there is a persistent gap between the presence of these laws and their effective enforcement, resulting in continued barriers for minority groups seeking equitable employment opportunities (Taylor, 2022). This discrepancy raises critical questions about the efficacy of current anti-discrimination laws in truly transforming workplace cultures and promoting a genuinely inclusive environment. Therefore, it is essential to investigate the specific factors that influence the successful implementation of these laws and their real-world impact on workplace diversity metrics within the corporate sector (Brown, 2021).</w:t>
      </w:r>
    </w:p>
    <w:p w14:paraId="77C195F4" w14:textId="77777777" w:rsidR="00243671" w:rsidRPr="00AD4F53"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t>Theoretical Framework</w:t>
      </w:r>
    </w:p>
    <w:p w14:paraId="58A2B6F0" w14:textId="77777777"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
          <w:bCs/>
          <w:sz w:val="24"/>
          <w:szCs w:val="24"/>
        </w:rPr>
        <w:t>Social Identity Theory</w:t>
      </w:r>
    </w:p>
    <w:p w14:paraId="7550F46B" w14:textId="616DF8E9"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 xml:space="preserve">Proposed by Henri </w:t>
      </w:r>
      <w:proofErr w:type="spellStart"/>
      <w:r w:rsidRPr="00AD4F53">
        <w:rPr>
          <w:rFonts w:ascii="Times New Roman" w:hAnsi="Times New Roman" w:cs="Times New Roman"/>
          <w:sz w:val="24"/>
          <w:szCs w:val="24"/>
        </w:rPr>
        <w:t>Tajfel</w:t>
      </w:r>
      <w:proofErr w:type="spellEnd"/>
      <w:r w:rsidRPr="00AD4F53">
        <w:rPr>
          <w:rFonts w:ascii="Times New Roman" w:hAnsi="Times New Roman" w:cs="Times New Roman"/>
          <w:sz w:val="24"/>
          <w:szCs w:val="24"/>
        </w:rPr>
        <w:t xml:space="preserve"> and John Turner, </w:t>
      </w:r>
      <w:r w:rsidR="006B428F" w:rsidRPr="00AD4F53">
        <w:rPr>
          <w:rFonts w:ascii="Times New Roman" w:hAnsi="Times New Roman" w:cs="Times New Roman"/>
          <w:sz w:val="24"/>
          <w:szCs w:val="24"/>
        </w:rPr>
        <w:t xml:space="preserve">social identity theory </w:t>
      </w:r>
      <w:r w:rsidRPr="00AD4F53">
        <w:rPr>
          <w:rFonts w:ascii="Times New Roman" w:hAnsi="Times New Roman" w:cs="Times New Roman"/>
          <w:sz w:val="24"/>
          <w:szCs w:val="24"/>
        </w:rPr>
        <w:t>explores how individuals derive their identity from group memberships and the dynamics of intergroup relations. In the context of workplace diversity, this theory suggests that anti-discrimination laws can influence how employees perceive and align themselves with diverse groups within the organization. By reducing perceived discrimination and promoting inclusivity mandated by law, organizations can foster a stronger sense of identity and belonging among employees from different demographic backgrounds (</w:t>
      </w:r>
      <w:proofErr w:type="spellStart"/>
      <w:r w:rsidRPr="00AD4F53">
        <w:rPr>
          <w:rFonts w:ascii="Times New Roman" w:hAnsi="Times New Roman" w:cs="Times New Roman"/>
          <w:sz w:val="24"/>
          <w:szCs w:val="24"/>
        </w:rPr>
        <w:t>Tajfel</w:t>
      </w:r>
      <w:proofErr w:type="spellEnd"/>
      <w:r w:rsidRPr="00AD4F53">
        <w:rPr>
          <w:rFonts w:ascii="Times New Roman" w:hAnsi="Times New Roman" w:cs="Times New Roman"/>
          <w:sz w:val="24"/>
          <w:szCs w:val="24"/>
        </w:rPr>
        <w:t xml:space="preserve"> &amp; Turner, 2020).</w:t>
      </w:r>
    </w:p>
    <w:p w14:paraId="3DBDA7E7" w14:textId="77777777"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
          <w:bCs/>
          <w:sz w:val="24"/>
          <w:szCs w:val="24"/>
        </w:rPr>
        <w:t>Institutional Theory</w:t>
      </w:r>
    </w:p>
    <w:p w14:paraId="2FDF2CA6" w14:textId="3EFBA77B"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 xml:space="preserve">Originating from Meyer and Rowan, </w:t>
      </w:r>
      <w:r w:rsidR="006B428F" w:rsidRPr="00AD4F53">
        <w:rPr>
          <w:rFonts w:ascii="Times New Roman" w:hAnsi="Times New Roman" w:cs="Times New Roman"/>
          <w:sz w:val="24"/>
          <w:szCs w:val="24"/>
        </w:rPr>
        <w:t xml:space="preserve">institutional theory </w:t>
      </w:r>
      <w:r w:rsidRPr="00AD4F53">
        <w:rPr>
          <w:rFonts w:ascii="Times New Roman" w:hAnsi="Times New Roman" w:cs="Times New Roman"/>
          <w:sz w:val="24"/>
          <w:szCs w:val="24"/>
        </w:rPr>
        <w:t>focuses on how organizations conform to external pressures, such as legal mandates, norms, and expectations. In relation to anti-discrimination laws, this theory posits that organizations are compelled to adopt diversity practices not only to comply with legal requirements but also to maintain legitimacy and reputation in the corporate sector. Thus, these laws influence organizational behavior by shaping formal structures and policies that support diversity initiatives, thereby enhancing workplace diversity (Meyer &amp; Rowan, 2019).</w:t>
      </w:r>
    </w:p>
    <w:p w14:paraId="1FC0AD14" w14:textId="77777777" w:rsidR="00243671" w:rsidRPr="00AD4F53"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
          <w:bCs/>
          <w:sz w:val="24"/>
          <w:szCs w:val="24"/>
        </w:rPr>
        <w:t>Critical Race Theory</w:t>
      </w:r>
    </w:p>
    <w:p w14:paraId="3DBCAAC3" w14:textId="38095E7A" w:rsidR="00243671" w:rsidRDefault="00243671"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 xml:space="preserve">Developed by scholars like Derrick Bell and Richard Delgado, </w:t>
      </w:r>
      <w:r w:rsidR="006B428F" w:rsidRPr="00AD4F53">
        <w:rPr>
          <w:rFonts w:ascii="Times New Roman" w:hAnsi="Times New Roman" w:cs="Times New Roman"/>
          <w:sz w:val="24"/>
          <w:szCs w:val="24"/>
        </w:rPr>
        <w:t xml:space="preserve">critical race theory </w:t>
      </w:r>
      <w:r w:rsidRPr="00AD4F53">
        <w:rPr>
          <w:rFonts w:ascii="Times New Roman" w:hAnsi="Times New Roman" w:cs="Times New Roman"/>
          <w:sz w:val="24"/>
          <w:szCs w:val="24"/>
        </w:rPr>
        <w:t xml:space="preserve">examines how racism is embedded in legal systems and societal structures. Applied to workplace diversity, this theory critiques how anti-discrimination laws may not adequately address systemic inequalities and may even reinforce existing power dynamics within organizations. Research grounded in Critical Race Theory would explore how these laws are implemented and their impact on marginalized groups' access to opportunities and representation in corporate environments (Delgado &amp; </w:t>
      </w:r>
      <w:proofErr w:type="spellStart"/>
      <w:r w:rsidRPr="00AD4F53">
        <w:rPr>
          <w:rFonts w:ascii="Times New Roman" w:hAnsi="Times New Roman" w:cs="Times New Roman"/>
          <w:sz w:val="24"/>
          <w:szCs w:val="24"/>
        </w:rPr>
        <w:t>Stefancic</w:t>
      </w:r>
      <w:proofErr w:type="spellEnd"/>
      <w:r w:rsidRPr="00AD4F53">
        <w:rPr>
          <w:rFonts w:ascii="Times New Roman" w:hAnsi="Times New Roman" w:cs="Times New Roman"/>
          <w:sz w:val="24"/>
          <w:szCs w:val="24"/>
        </w:rPr>
        <w:t>, 2021).</w:t>
      </w:r>
    </w:p>
    <w:p w14:paraId="09EFD428" w14:textId="77777777" w:rsidR="00A3444A" w:rsidRPr="00AD4F53" w:rsidRDefault="00A3444A" w:rsidP="00AD4F53">
      <w:pPr>
        <w:spacing w:before="100" w:after="100" w:line="240" w:lineRule="auto"/>
        <w:jc w:val="both"/>
        <w:rPr>
          <w:rFonts w:ascii="Times New Roman" w:hAnsi="Times New Roman" w:cs="Times New Roman"/>
          <w:sz w:val="24"/>
          <w:szCs w:val="24"/>
        </w:rPr>
      </w:pPr>
    </w:p>
    <w:p w14:paraId="50AAC9CA" w14:textId="77777777" w:rsidR="00243671" w:rsidRPr="00AD4F53"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lastRenderedPageBreak/>
        <w:t>Empirical Review</w:t>
      </w:r>
    </w:p>
    <w:p w14:paraId="430C1A42" w14:textId="77777777" w:rsidR="00264F46"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Smith (2019)</w:t>
      </w:r>
      <w:r w:rsidRPr="00AD4F53">
        <w:rPr>
          <w:rFonts w:ascii="Times New Roman" w:hAnsi="Times New Roman" w:cs="Times New Roman"/>
          <w:sz w:val="24"/>
          <w:szCs w:val="24"/>
        </w:rPr>
        <w:t xml:space="preserve"> conducted an in-depth evaluation of the impact of affirmative action policies on diversity in Fortune 500 companies. The purpose of the study was to determine whether these policies had effectively increased minority representation in management positions over a ten-year period. Utilizing a mixed-methods approach that combined quantitative surveys with qualitative interviews, Smith collected data from both employees and HR managers. The findings revealed a significant increase in minority representation in management roles post-implementation, with notable improvements in racial and ethnic diversity. The study also identified areas where affirmative action policies were less effective, particularly in middle management positions. Smith concluded that while affirmative action has had a positive impact, its implementation and scope need continuous monitoring and adaptation. Recommendations included the establishment of more robust support systems for minority employees and periodic reviews of affirmative action policies to ensure they remain relevant and effective. This study highlights the complex nature of implementing diversity initiatives in large corporations and the necessity of ongoing commitment to these policies</w:t>
      </w:r>
      <w:r w:rsidR="00AD4F53" w:rsidRPr="00AD4F53">
        <w:rPr>
          <w:rFonts w:ascii="Times New Roman" w:hAnsi="Times New Roman" w:cs="Times New Roman"/>
          <w:sz w:val="24"/>
          <w:szCs w:val="24"/>
        </w:rPr>
        <w:t>.</w:t>
      </w:r>
    </w:p>
    <w:p w14:paraId="42582194" w14:textId="77777777" w:rsidR="00264F46"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Jones (2020)</w:t>
      </w:r>
      <w:r w:rsidRPr="00AD4F53">
        <w:rPr>
          <w:rFonts w:ascii="Times New Roman" w:hAnsi="Times New Roman" w:cs="Times New Roman"/>
          <w:sz w:val="24"/>
          <w:szCs w:val="24"/>
        </w:rPr>
        <w:t xml:space="preserve"> explored the enforcement of Equal Employment Opportunity (EEO) laws and their effectiveness in promoting gender diversity in tech firms. The purpose was to assess whether these laws have led to meaningful changes in the hiring and promotion of women in the technology sector. Using a robust quantitative analysis of employment data from 2010 to 2018, Jones tracked the representation of women in various tech roles over time. The study found a 15% increase in female employees in tech roles, suggesting that EEO laws have had a positive impact. However, Jones also identified persistent challenges, such as unconscious bias and cultural barriers that continue to hinder full gender parity. The findings emphasized the importance of not only having EEO laws in place but also ensuring their stringent enforcement. Recommendations included enhancing EEO training programs for all employees, implementing stricter penalties for non-compliance, and promoting a culture of inclusivity through leadership commitment. This study underscores the critical role of legal frameworks in driving diversity and the need for continuous efforts to address deep-rooted biases</w:t>
      </w:r>
      <w:r w:rsidR="00AD4F53" w:rsidRPr="00AD4F53">
        <w:rPr>
          <w:rFonts w:ascii="Times New Roman" w:hAnsi="Times New Roman" w:cs="Times New Roman"/>
          <w:sz w:val="24"/>
          <w:szCs w:val="24"/>
        </w:rPr>
        <w:t>.</w:t>
      </w:r>
    </w:p>
    <w:p w14:paraId="4A0D0F2B" w14:textId="77777777" w:rsidR="00264F46"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Brown (2021)</w:t>
      </w:r>
      <w:r w:rsidRPr="00AD4F53">
        <w:rPr>
          <w:rFonts w:ascii="Times New Roman" w:hAnsi="Times New Roman" w:cs="Times New Roman"/>
          <w:sz w:val="24"/>
          <w:szCs w:val="24"/>
        </w:rPr>
        <w:t xml:space="preserve"> assessed the impact of diversity training programs mandated by anti-discrimination laws on employee inclusivity in multinational corporations. The study aimed to evaluate the effectiveness of these training programs in changing employee attitudes and behaviors towards diversity. Using a qualitative research design, Brown conducted focus groups and collected employee feedback through surveys. The findings revealed that diversity training programs significantly improved inclusivity and awareness among employees. Participants reported a greater understanding of diverse perspectives and a reduction in instances of unconscious bias. Despite these positive outcomes, the study noted that the effectiveness of diversity training varied depending on the organization’s commitment to diversity and the quality of the training programs. Recommendations included making diversity training an ongoing process rather than a one-time event, integrating diversity goals into organizational culture, and ensuring top management support. This research highlights the importance of comprehensive and well-executed diversity training in fostering an inclusive workplace environment</w:t>
      </w:r>
      <w:r w:rsidR="00AD4F53" w:rsidRPr="00AD4F53">
        <w:rPr>
          <w:rFonts w:ascii="Times New Roman" w:hAnsi="Times New Roman" w:cs="Times New Roman"/>
          <w:sz w:val="24"/>
          <w:szCs w:val="24"/>
        </w:rPr>
        <w:t>.</w:t>
      </w:r>
    </w:p>
    <w:p w14:paraId="720BCDBE" w14:textId="77777777" w:rsidR="00264F46"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Taylor (2022)</w:t>
      </w:r>
      <w:r w:rsidRPr="00AD4F53">
        <w:rPr>
          <w:rFonts w:ascii="Times New Roman" w:hAnsi="Times New Roman" w:cs="Times New Roman"/>
          <w:sz w:val="24"/>
          <w:szCs w:val="24"/>
        </w:rPr>
        <w:t xml:space="preserve"> investigated the influence of the Equality Act 2010 on workplace diversity in the UK financial sector. The purpose of the study was to determine whether the Act has effectively increased the representation of minority groups in financial institutions. By analyzing employment </w:t>
      </w:r>
      <w:r w:rsidRPr="00AD4F53">
        <w:rPr>
          <w:rFonts w:ascii="Times New Roman" w:hAnsi="Times New Roman" w:cs="Times New Roman"/>
          <w:sz w:val="24"/>
          <w:szCs w:val="24"/>
        </w:rPr>
        <w:lastRenderedPageBreak/>
        <w:t>statistics and conducting interviews with HR managers, Taylor provided a comprehensive overview of the Act’s impact. The study found increased representation of minority groups and a more diverse executive leadership in the financial sector. However, Taylor also highlighted ongoing challenges such as subtle forms of discrimination and the need for more inclusive organizational cultures. The findings suggested that while the Equality Act has made significant strides, its implementation is still a work in progress. Recommendations included more robust implementation strategies, periodic reviews of the Act, and the promotion of a diversity-inclusive culture at all organizational levels. This study underscores the importance of legislative frameworks in promoting workplace diversity and the need for continuous improvement</w:t>
      </w:r>
      <w:r w:rsidR="00AD4F53" w:rsidRPr="00AD4F53">
        <w:rPr>
          <w:rFonts w:ascii="Times New Roman" w:hAnsi="Times New Roman" w:cs="Times New Roman"/>
          <w:sz w:val="24"/>
          <w:szCs w:val="24"/>
        </w:rPr>
        <w:t>.</w:t>
      </w:r>
    </w:p>
    <w:p w14:paraId="49E0EC28" w14:textId="77777777" w:rsidR="00264F46"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Garcia (2018)</w:t>
      </w:r>
      <w:r w:rsidRPr="00AD4F53">
        <w:rPr>
          <w:rFonts w:ascii="Times New Roman" w:hAnsi="Times New Roman" w:cs="Times New Roman"/>
          <w:sz w:val="24"/>
          <w:szCs w:val="24"/>
        </w:rPr>
        <w:t xml:space="preserve"> examined the role of anti-discrimination laws in enhancing ethnic diversity within Spanish corporations. The purpose was to evaluate whether these laws had led to a meaningful increase in the representation of ethnic minorities over a ten-year period. Using longitudinal data analysis, Garcia tracked changes in ethnic diversity within the corporate sector. The study found a steady increase in ethnic minority representation, indicating that anti-discrimination laws were effective. However, Garcia also pointed out that the increase was more pronounced in lower-level positions than in senior management roles. The study recommended enhanced public awareness campaigns to support these laws and additional measures to promote minorities into higher-level positions. These findings highlight the positive impact of anti-discrimination laws while also revealing areas needing further attention. The study calls for continued efforts to ensure that diversity is achieved a</w:t>
      </w:r>
      <w:r w:rsidR="00AD4F53" w:rsidRPr="00AD4F53">
        <w:rPr>
          <w:rFonts w:ascii="Times New Roman" w:hAnsi="Times New Roman" w:cs="Times New Roman"/>
          <w:sz w:val="24"/>
          <w:szCs w:val="24"/>
        </w:rPr>
        <w:t>cross all organizational levels.</w:t>
      </w:r>
    </w:p>
    <w:p w14:paraId="54D0975E" w14:textId="77777777" w:rsidR="00264F46"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Li (2020)</w:t>
      </w:r>
      <w:r w:rsidRPr="00AD4F53">
        <w:rPr>
          <w:rFonts w:ascii="Times New Roman" w:hAnsi="Times New Roman" w:cs="Times New Roman"/>
          <w:sz w:val="24"/>
          <w:szCs w:val="24"/>
        </w:rPr>
        <w:t xml:space="preserve"> analyzed the impact of China’s anti-discrimination legislation on workplace diversity in state-owned enterprises. The purpose of the study was to assess whether these laws have led to an increase in the representation of minority groups and women in state-owned companies. Employing a mixed-methods design, Li combined quantitative data analysis with qualitative interviews to provide a comprehensive view. The findings indicated a modest but significant increase in the representation of minority groups and women in the workforce. However, the study also identified issues such as regional disparities and varying levels of enforcement. Li recommended strengthening enforcement mechanisms and conducting periodic audits to ensure compliance with anti-discrimination laws. This study underscores the importance of both legislation and its rigorous enforcement i</w:t>
      </w:r>
      <w:r w:rsidR="00AD4F53" w:rsidRPr="00AD4F53">
        <w:rPr>
          <w:rFonts w:ascii="Times New Roman" w:hAnsi="Times New Roman" w:cs="Times New Roman"/>
          <w:sz w:val="24"/>
          <w:szCs w:val="24"/>
        </w:rPr>
        <w:t>n promoting workplace diversity.</w:t>
      </w:r>
    </w:p>
    <w:p w14:paraId="614BCD02" w14:textId="77777777" w:rsidR="00243671" w:rsidRPr="00AD4F53" w:rsidRDefault="00264F46"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bCs/>
          <w:sz w:val="24"/>
          <w:szCs w:val="24"/>
        </w:rPr>
        <w:t>Nguyen (2022)</w:t>
      </w:r>
      <w:r w:rsidRPr="00AD4F53">
        <w:rPr>
          <w:rFonts w:ascii="Times New Roman" w:hAnsi="Times New Roman" w:cs="Times New Roman"/>
          <w:sz w:val="24"/>
          <w:szCs w:val="24"/>
        </w:rPr>
        <w:t xml:space="preserve"> explored the effectiveness of Vietnam’s Labor Code amendments on gender diversity in corporate boards. The study aimed to evaluate whether these legislative changes have resulted in increased representation of women in leadership positions. Using a quantitative approach, Nguyen analyzed employment and board composition data from 2015 to 2020. The findings showed a 20% increase in female board members following the amendments, suggesting a positive impact of the Labor Code changes. However, the study also highlighted ongoing challenges such as societal attitudes towards women in leadership and the need for supportive organizational policies. Recommendations included further legislative reforms to support gender parity, promoting mentorship programs for women, and raising awareness about the benefits of gender diversity. This study emphasizes the role of legislative changes in driving gender diversity in corporate leadership and the need for continuous efforts to overcome cultural barriers.</w:t>
      </w:r>
    </w:p>
    <w:p w14:paraId="3404BA17" w14:textId="77777777" w:rsidR="00243671"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t>METHODOLOGY</w:t>
      </w:r>
    </w:p>
    <w:p w14:paraId="3463E191" w14:textId="77777777" w:rsidR="00A83AEB" w:rsidRPr="00A83AEB" w:rsidRDefault="00A83AEB" w:rsidP="00A83AEB">
      <w:pPr>
        <w:spacing w:before="100" w:after="100" w:line="240" w:lineRule="auto"/>
        <w:jc w:val="both"/>
        <w:rPr>
          <w:rFonts w:ascii="Times New Roman" w:hAnsi="Times New Roman" w:cs="Times New Roman"/>
          <w:sz w:val="24"/>
          <w:szCs w:val="24"/>
        </w:rPr>
      </w:pPr>
      <w:r w:rsidRPr="00A83AEB">
        <w:rPr>
          <w:rFonts w:ascii="Times New Roman" w:hAnsi="Times New Roman" w:cs="Times New Roman"/>
          <w:sz w:val="24"/>
          <w:szCs w:val="24"/>
        </w:rPr>
        <w:t xml:space="preserve">This study adopted a desk methodology. A desk study research design is commonly known as secondary data collection. This is basically collecting data from existing resources preferably </w:t>
      </w:r>
      <w:r w:rsidRPr="00A83AEB">
        <w:rPr>
          <w:rFonts w:ascii="Times New Roman" w:hAnsi="Times New Roman" w:cs="Times New Roman"/>
          <w:sz w:val="24"/>
          <w:szCs w:val="24"/>
        </w:rPr>
        <w:lastRenderedPageBreak/>
        <w:t>because of its low cost advantage as compared to a field research. Our current study looked into already published studies and reports as the data was easily accessed through online journals and libraries.</w:t>
      </w:r>
    </w:p>
    <w:p w14:paraId="76D15003" w14:textId="77777777" w:rsidR="00A83AEB" w:rsidRPr="00A83AEB" w:rsidRDefault="00A83AEB" w:rsidP="00AD4F53">
      <w:pPr>
        <w:spacing w:before="100" w:after="100" w:line="240" w:lineRule="auto"/>
        <w:jc w:val="both"/>
        <w:rPr>
          <w:rFonts w:ascii="Times New Roman" w:hAnsi="Times New Roman" w:cs="Times New Roman"/>
          <w:b/>
          <w:sz w:val="24"/>
          <w:szCs w:val="24"/>
        </w:rPr>
      </w:pPr>
      <w:r w:rsidRPr="00A83AEB">
        <w:rPr>
          <w:rFonts w:ascii="Times New Roman" w:hAnsi="Times New Roman" w:cs="Times New Roman"/>
          <w:b/>
          <w:sz w:val="24"/>
          <w:szCs w:val="24"/>
        </w:rPr>
        <w:t>RESULTS</w:t>
      </w:r>
    </w:p>
    <w:p w14:paraId="56F78936" w14:textId="77777777" w:rsidR="00AD4F53" w:rsidRPr="00AD4F53" w:rsidRDefault="00AD4F53" w:rsidP="00AD4F53">
      <w:pPr>
        <w:spacing w:before="100" w:after="100" w:line="240" w:lineRule="auto"/>
        <w:jc w:val="both"/>
        <w:rPr>
          <w:rFonts w:ascii="Times New Roman" w:hAnsi="Times New Roman" w:cs="Times New Roman"/>
          <w:b/>
          <w:bCs/>
          <w:sz w:val="24"/>
          <w:szCs w:val="24"/>
        </w:rPr>
      </w:pPr>
      <w:r w:rsidRPr="00AD4F53">
        <w:rPr>
          <w:rFonts w:ascii="Times New Roman" w:hAnsi="Times New Roman" w:cs="Times New Roman"/>
          <w:b/>
          <w:bCs/>
          <w:sz w:val="24"/>
          <w:szCs w:val="24"/>
        </w:rPr>
        <w:t xml:space="preserve">Conceptual Gaps: </w:t>
      </w:r>
      <w:r w:rsidRPr="00AD4F53">
        <w:rPr>
          <w:rFonts w:ascii="Times New Roman" w:hAnsi="Times New Roman" w:cs="Times New Roman"/>
          <w:sz w:val="24"/>
          <w:szCs w:val="24"/>
        </w:rPr>
        <w:t>The studies reviewed reveal several conceptual gaps. Smith (2019) identified areas where affirmative action policies were less effective, particularly in middle management positions, indicating a need for research on the specific barriers within these roles. Similarly, Jones (2020) highlighted unconscious bias and cultural barriers as persistent challenges, suggesting a gap in understanding how these biases can be systematically addressed within legal frameworks. Brown (2021) found that the effectiveness of diversity training varied depending on organizational commitment, pointing to a need for a deeper exploration of the factors that influence the success of these programs. Additionally, Taylor (2022) noted the ongoing subtle forms of discrimination despite legislative efforts, indicating a gap in strategies to combat these subtler issues. Garcia (2018) found that increases in ethnic minority representation were more pronounced in lower-level positions than in senior management roles, suggesting a need for strategies to promote diversity at higher levels. Li (2020) identified regional disparities and varying levels of enforcement as issues, indicating a gap in understanding the factors influencing these disparities. Finally, Nguyen (2022) highlighted societal attitudes towards women in leadership as a challenge, suggesting a need for research on changing these attitudes.</w:t>
      </w:r>
    </w:p>
    <w:p w14:paraId="7157BBD9" w14:textId="77777777" w:rsidR="00AD4F53" w:rsidRPr="00AD4F53" w:rsidRDefault="00AD4F53" w:rsidP="00AD4F53">
      <w:pPr>
        <w:spacing w:before="100" w:after="100" w:line="240" w:lineRule="auto"/>
        <w:jc w:val="both"/>
        <w:rPr>
          <w:rFonts w:ascii="Times New Roman" w:hAnsi="Times New Roman" w:cs="Times New Roman"/>
          <w:b/>
          <w:bCs/>
          <w:sz w:val="24"/>
          <w:szCs w:val="24"/>
        </w:rPr>
      </w:pPr>
      <w:r w:rsidRPr="00AD4F53">
        <w:rPr>
          <w:rFonts w:ascii="Times New Roman" w:hAnsi="Times New Roman" w:cs="Times New Roman"/>
          <w:b/>
          <w:bCs/>
          <w:sz w:val="24"/>
          <w:szCs w:val="24"/>
        </w:rPr>
        <w:t xml:space="preserve">Contextual Gaps: </w:t>
      </w:r>
      <w:r w:rsidRPr="00AD4F53">
        <w:rPr>
          <w:rFonts w:ascii="Times New Roman" w:hAnsi="Times New Roman" w:cs="Times New Roman"/>
          <w:sz w:val="24"/>
          <w:szCs w:val="24"/>
        </w:rPr>
        <w:t>Contextual gaps are evident in the varying effectiveness of anti-discrimination laws across different sectors and regions. Smith (2019) focused on Fortune 500 companies in the USA, leaving a gap in understanding how these policies impact smaller companies or different industries. Jones (2020) examined tech firms, which may have different dynamics compared to other sectors, indicating a need for cross-sectoral analysis. Brown (2021) studied multinational corporations, suggesting a gap in understanding how diversity training impacts smaller or local firms. Taylor (2022) focused on the UK financial sector, leaving a gap in other sectors within the UK or different cultural contexts. Garcia (2018) examined Spanish corporations, indicating a gap in understanding how anti-discrimination laws function in other European countries or in different economic contexts. Li (2020) studied state-owned enterprises in China, suggesting a gap in private sector organizations or other Asian countries. Nguyen (2022) focused on corporate boards in Vietnam, leaving a gap in understanding how these legislative changes impact other organizational levels or sectors.</w:t>
      </w:r>
    </w:p>
    <w:p w14:paraId="4DCE6EDD" w14:textId="77777777" w:rsidR="00243671" w:rsidRPr="00AD4F53" w:rsidRDefault="00AD4F53" w:rsidP="00AD4F53">
      <w:pPr>
        <w:spacing w:before="100" w:after="100" w:line="240" w:lineRule="auto"/>
        <w:jc w:val="both"/>
        <w:rPr>
          <w:rFonts w:ascii="Times New Roman" w:hAnsi="Times New Roman" w:cs="Times New Roman"/>
          <w:b/>
          <w:bCs/>
          <w:sz w:val="24"/>
          <w:szCs w:val="24"/>
        </w:rPr>
      </w:pPr>
      <w:r w:rsidRPr="00AD4F53">
        <w:rPr>
          <w:rFonts w:ascii="Times New Roman" w:hAnsi="Times New Roman" w:cs="Times New Roman"/>
          <w:b/>
          <w:bCs/>
          <w:sz w:val="24"/>
          <w:szCs w:val="24"/>
        </w:rPr>
        <w:t xml:space="preserve">Geographical Gaps: </w:t>
      </w:r>
      <w:r w:rsidRPr="00AD4F53">
        <w:rPr>
          <w:rFonts w:ascii="Times New Roman" w:hAnsi="Times New Roman" w:cs="Times New Roman"/>
          <w:sz w:val="24"/>
          <w:szCs w:val="24"/>
        </w:rPr>
        <w:t xml:space="preserve">Geographical gaps are prominent in the existing literature, with most studies focusing on specific countries or regions. Smith (2019) and Jones (2020) focused on the USA, highlighting a gap in understanding the impact of affirmative action and EEO laws in other countries, particularly in developing regions. Taylor (2022) studied the UK, indicating a gap in comparative studies between the UK and other European countries or non-Western contexts. Garcia (2018) focused on Spain, leaving a gap in comparative analysis with other European countries or regions with different socio-political backgrounds. Li (2020) examined China, suggesting a gap in understanding the impact of anti-discrimination laws in other Asian countries or in different political contexts. Nguyen (2022) focused on Vietnam, highlighting a need for research in other Southeast Asian countries or regions with different cultural and legislative environments. These geographical gaps suggest a need for more comprehensive, comparative </w:t>
      </w:r>
      <w:r w:rsidRPr="00AD4F53">
        <w:rPr>
          <w:rFonts w:ascii="Times New Roman" w:hAnsi="Times New Roman" w:cs="Times New Roman"/>
          <w:sz w:val="24"/>
          <w:szCs w:val="24"/>
        </w:rPr>
        <w:lastRenderedPageBreak/>
        <w:t>studies that include a wider range of countries and regions to understand the global impact of anti-discrimination laws on workplace diversity.</w:t>
      </w:r>
    </w:p>
    <w:p w14:paraId="037FF805" w14:textId="77777777" w:rsidR="00243671" w:rsidRPr="00AD4F53"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t>CONCLUSION AND RECOMMENDATIONS</w:t>
      </w:r>
    </w:p>
    <w:p w14:paraId="5F5A8239" w14:textId="77777777" w:rsidR="00243671" w:rsidRPr="00AD4F53"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t>Conclusion</w:t>
      </w:r>
    </w:p>
    <w:p w14:paraId="2E42BD91" w14:textId="77777777" w:rsidR="00AD4F53" w:rsidRPr="00AD4F53" w:rsidRDefault="00AD4F53"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conclusion, the impact of anti-discrimination laws on workplace diversity in the corporate sector is multifaceted and influenced by several theoretical perspectives. Social Identity Theory highlights the potential for these laws to foster inclusivity and a sense of belonging among diverse employee groups. Institutional Theory underscores how organizations respond to external pressures, including legal mandates, by formalizing diversity practices to enhance legitimacy and reputation. Critical Race Theory provides a critical lens, emphasizing the limitations of anti-discrimination laws in addressing systemic inequalities and advocating for deeper structural changes to promote equitable opportunities for marginalized groups.</w:t>
      </w:r>
    </w:p>
    <w:p w14:paraId="516F3CFD" w14:textId="77777777" w:rsidR="00243671" w:rsidRPr="00AD4F53" w:rsidRDefault="00AD4F53"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Understanding these theoretical frameworks helps elucidate both the positive strides and ongoing challenges in leveraging anti-discrimination laws to enhance workplace diversity. Future research should continue to explore how these laws are implemented, their effectiveness in fostering genuine inclusion, and their impact on organizational culture and employee outcomes across various sectors of the corporate world.</w:t>
      </w:r>
    </w:p>
    <w:p w14:paraId="3383A388" w14:textId="77777777" w:rsidR="00243671" w:rsidRDefault="00243671"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t xml:space="preserve">Recommendations </w:t>
      </w:r>
    </w:p>
    <w:p w14:paraId="5C256847" w14:textId="77777777" w:rsidR="00A83AEB" w:rsidRPr="00A83AEB" w:rsidRDefault="00A83AEB" w:rsidP="00AD4F53">
      <w:pPr>
        <w:spacing w:before="100" w:after="100" w:line="240" w:lineRule="auto"/>
        <w:jc w:val="both"/>
        <w:rPr>
          <w:rFonts w:ascii="Times New Roman" w:hAnsi="Times New Roman" w:cs="Times New Roman"/>
          <w:sz w:val="24"/>
          <w:szCs w:val="24"/>
        </w:rPr>
      </w:pPr>
      <w:r w:rsidRPr="00A83AEB">
        <w:rPr>
          <w:rFonts w:ascii="Times New Roman" w:hAnsi="Times New Roman" w:cs="Times New Roman"/>
          <w:sz w:val="24"/>
          <w:szCs w:val="24"/>
        </w:rPr>
        <w:t>The following are the recommendations based on theory, practice and policy:</w:t>
      </w:r>
    </w:p>
    <w:p w14:paraId="221E5DC3" w14:textId="77777777" w:rsidR="00AD4F53" w:rsidRPr="00AD4F53" w:rsidRDefault="00AD4F53" w:rsidP="00AD4F53">
      <w:pPr>
        <w:spacing w:before="100" w:after="100" w:line="240" w:lineRule="auto"/>
        <w:jc w:val="both"/>
        <w:rPr>
          <w:rFonts w:ascii="Times New Roman" w:hAnsi="Times New Roman" w:cs="Times New Roman"/>
          <w:b/>
          <w:bCs/>
          <w:sz w:val="24"/>
          <w:szCs w:val="24"/>
        </w:rPr>
      </w:pPr>
      <w:r w:rsidRPr="00AD4F53">
        <w:rPr>
          <w:rFonts w:ascii="Times New Roman" w:hAnsi="Times New Roman" w:cs="Times New Roman"/>
          <w:b/>
          <w:bCs/>
          <w:sz w:val="24"/>
          <w:szCs w:val="24"/>
        </w:rPr>
        <w:t>Theory</w:t>
      </w:r>
    </w:p>
    <w:p w14:paraId="01FFBFE2" w14:textId="77777777" w:rsidR="00AD4F53" w:rsidRPr="00AD4F53" w:rsidRDefault="00AD4F53"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To advance theoretical frameworks, future research should integrate intersectionality theory into studies of anti-discrimination laws and workplace diversity. Intersectionality acknowledges the overlapping and interconnected nature of social categories such as race, gender, and class, and how individuals may experience multiple forms of discrimination simultaneously. By adopting an intersectional perspective, researchers can better understand the complex interactions between different dimensions of diversity influenced by anti-discrimination laws. Additionally, longitudinal studies are recommended to assess the enduring effects of these laws on organizational culture, employee attitudes, and diversity outcomes over time. Such studies would provide valuable insights into how legislative measures impact workplace dynamics beyond initial compliance requirements, thereby enriching theoretical understanding and informing future policy recommendations.</w:t>
      </w:r>
    </w:p>
    <w:p w14:paraId="4B7103DD" w14:textId="77777777" w:rsidR="00AD4F53" w:rsidRPr="00AD4F53" w:rsidRDefault="00AD4F53" w:rsidP="00AD4F53">
      <w:pPr>
        <w:spacing w:before="100" w:after="100" w:line="240" w:lineRule="auto"/>
        <w:jc w:val="both"/>
        <w:rPr>
          <w:rFonts w:ascii="Times New Roman" w:hAnsi="Times New Roman" w:cs="Times New Roman"/>
          <w:b/>
          <w:bCs/>
          <w:sz w:val="24"/>
          <w:szCs w:val="24"/>
        </w:rPr>
      </w:pPr>
      <w:r w:rsidRPr="00AD4F53">
        <w:rPr>
          <w:rFonts w:ascii="Times New Roman" w:hAnsi="Times New Roman" w:cs="Times New Roman"/>
          <w:b/>
          <w:bCs/>
          <w:sz w:val="24"/>
          <w:szCs w:val="24"/>
        </w:rPr>
        <w:t>Practice</w:t>
      </w:r>
    </w:p>
    <w:p w14:paraId="49AE090F" w14:textId="77777777" w:rsidR="00AD4F53" w:rsidRDefault="00AD4F53"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In practice, organizations should enhance diversity training and awareness programs to transcend mere legal compliance and foster genuine cultural competence among employees and leaders. These programs can draw on insights from critical race theory and social identity theory to promote understanding and respect for diverse perspectives within the workplace. Moreover, establishing standardized metrics and accountability measures is crucial to measuring the effectiveness of anti-discrimination efforts in promoting workplace diversity. Clear metrics ensure that diversity goals are actively pursued and monitored, reinforcing organizational commitment to inclusivity and providing benchmarks for continuous improvement in diversity practices.</w:t>
      </w:r>
    </w:p>
    <w:p w14:paraId="349E51C7" w14:textId="77777777" w:rsidR="00A3444A" w:rsidRPr="00AD4F53" w:rsidRDefault="00A3444A" w:rsidP="00AD4F53">
      <w:pPr>
        <w:spacing w:before="100" w:after="100" w:line="240" w:lineRule="auto"/>
        <w:jc w:val="both"/>
        <w:rPr>
          <w:rFonts w:ascii="Times New Roman" w:hAnsi="Times New Roman" w:cs="Times New Roman"/>
          <w:sz w:val="24"/>
          <w:szCs w:val="24"/>
        </w:rPr>
      </w:pPr>
    </w:p>
    <w:p w14:paraId="38B40427" w14:textId="77777777" w:rsidR="00AD4F53" w:rsidRPr="00AD4F53" w:rsidRDefault="00AD4F53" w:rsidP="00AD4F53">
      <w:pPr>
        <w:spacing w:before="100" w:after="100" w:line="240" w:lineRule="auto"/>
        <w:jc w:val="both"/>
        <w:rPr>
          <w:rFonts w:ascii="Times New Roman" w:hAnsi="Times New Roman" w:cs="Times New Roman"/>
          <w:b/>
          <w:bCs/>
          <w:sz w:val="24"/>
          <w:szCs w:val="24"/>
        </w:rPr>
      </w:pPr>
      <w:r w:rsidRPr="00AD4F53">
        <w:rPr>
          <w:rFonts w:ascii="Times New Roman" w:hAnsi="Times New Roman" w:cs="Times New Roman"/>
          <w:b/>
          <w:bCs/>
          <w:sz w:val="24"/>
          <w:szCs w:val="24"/>
        </w:rPr>
        <w:lastRenderedPageBreak/>
        <w:t>Policy</w:t>
      </w:r>
    </w:p>
    <w:p w14:paraId="6D10233B" w14:textId="77777777" w:rsidR="00AD4F53" w:rsidRPr="00AD4F53" w:rsidRDefault="00AD4F53" w:rsidP="00AD4F53">
      <w:pPr>
        <w:spacing w:before="100" w:after="100" w:line="240" w:lineRule="auto"/>
        <w:jc w:val="both"/>
        <w:rPr>
          <w:rFonts w:ascii="Times New Roman" w:hAnsi="Times New Roman" w:cs="Times New Roman"/>
          <w:sz w:val="24"/>
          <w:szCs w:val="24"/>
        </w:rPr>
      </w:pPr>
      <w:r w:rsidRPr="00AD4F53">
        <w:rPr>
          <w:rFonts w:ascii="Times New Roman" w:hAnsi="Times New Roman" w:cs="Times New Roman"/>
          <w:sz w:val="24"/>
          <w:szCs w:val="24"/>
        </w:rPr>
        <w:t xml:space="preserve">From a policy perspective, advocating for enhanced enforcement and monitoring of anti-discrimination laws is essential to ensure compliance across all levels of organizations. Strengthening regulatory oversight helps deter discriminatory practices and promotes a more equitable distribution of opportunities within corporate environments. Furthermore, policymakers should prioritize policy innovation to address emerging forms of discrimination that may not be adequately covered by existing laws, such as algorithmic bias and </w:t>
      </w:r>
      <w:proofErr w:type="spellStart"/>
      <w:r w:rsidRPr="00AD4F53">
        <w:rPr>
          <w:rFonts w:ascii="Times New Roman" w:hAnsi="Times New Roman" w:cs="Times New Roman"/>
          <w:sz w:val="24"/>
          <w:szCs w:val="24"/>
        </w:rPr>
        <w:t>microaggressions</w:t>
      </w:r>
      <w:proofErr w:type="spellEnd"/>
      <w:r w:rsidRPr="00AD4F53">
        <w:rPr>
          <w:rFonts w:ascii="Times New Roman" w:hAnsi="Times New Roman" w:cs="Times New Roman"/>
          <w:sz w:val="24"/>
          <w:szCs w:val="24"/>
        </w:rPr>
        <w:t>. Collaborative efforts involving policymakers, industry leaders, and advocacy groups can lead to the development of proactive measures that anticipate future challenges to workplace diversity, thereby fostering a more just and inclusive corporate sector.</w:t>
      </w:r>
    </w:p>
    <w:p w14:paraId="1F249130" w14:textId="77777777" w:rsidR="00243671" w:rsidRPr="00AD4F53" w:rsidRDefault="00243671" w:rsidP="00AD4F53">
      <w:pPr>
        <w:spacing w:before="100" w:after="100" w:line="240" w:lineRule="auto"/>
        <w:jc w:val="both"/>
        <w:rPr>
          <w:rFonts w:ascii="Times New Roman" w:hAnsi="Times New Roman" w:cs="Times New Roman"/>
          <w:sz w:val="24"/>
          <w:szCs w:val="24"/>
        </w:rPr>
      </w:pPr>
    </w:p>
    <w:p w14:paraId="58E29090" w14:textId="77777777" w:rsidR="00AD4F53" w:rsidRPr="00AD4F53" w:rsidRDefault="00AD4F53" w:rsidP="00AD4F53">
      <w:pPr>
        <w:spacing w:before="100" w:after="100" w:line="240" w:lineRule="auto"/>
        <w:jc w:val="both"/>
        <w:rPr>
          <w:rFonts w:ascii="Times New Roman" w:hAnsi="Times New Roman" w:cs="Times New Roman"/>
          <w:sz w:val="24"/>
          <w:szCs w:val="24"/>
        </w:rPr>
      </w:pPr>
    </w:p>
    <w:p w14:paraId="06D0D203" w14:textId="77777777" w:rsidR="00AD4F53" w:rsidRPr="00AD4F53" w:rsidRDefault="00AD4F53" w:rsidP="00AD4F53">
      <w:pPr>
        <w:spacing w:before="100" w:after="100" w:line="240" w:lineRule="auto"/>
        <w:jc w:val="both"/>
        <w:rPr>
          <w:rFonts w:ascii="Times New Roman" w:hAnsi="Times New Roman" w:cs="Times New Roman"/>
          <w:sz w:val="24"/>
          <w:szCs w:val="24"/>
        </w:rPr>
      </w:pPr>
    </w:p>
    <w:p w14:paraId="14156D92" w14:textId="77777777" w:rsidR="00AD4F53" w:rsidRPr="00AD4F53" w:rsidRDefault="00AD4F53" w:rsidP="00AD4F53">
      <w:pPr>
        <w:spacing w:before="100" w:after="100" w:line="240" w:lineRule="auto"/>
        <w:jc w:val="both"/>
        <w:rPr>
          <w:rFonts w:ascii="Times New Roman" w:hAnsi="Times New Roman" w:cs="Times New Roman"/>
          <w:sz w:val="24"/>
          <w:szCs w:val="24"/>
        </w:rPr>
      </w:pPr>
    </w:p>
    <w:p w14:paraId="15194186" w14:textId="77777777" w:rsidR="00AD4F53" w:rsidRPr="00AD4F53" w:rsidRDefault="00AD4F53" w:rsidP="00AD4F53">
      <w:pPr>
        <w:spacing w:before="100" w:after="100" w:line="240" w:lineRule="auto"/>
        <w:jc w:val="both"/>
        <w:rPr>
          <w:rFonts w:ascii="Times New Roman" w:hAnsi="Times New Roman" w:cs="Times New Roman"/>
          <w:sz w:val="24"/>
          <w:szCs w:val="24"/>
        </w:rPr>
      </w:pPr>
    </w:p>
    <w:p w14:paraId="04F37019" w14:textId="77777777" w:rsidR="00AD4F53" w:rsidRPr="00AD4F53" w:rsidRDefault="00AD4F53" w:rsidP="00AD4F53">
      <w:pPr>
        <w:spacing w:before="100" w:after="100" w:line="240" w:lineRule="auto"/>
        <w:jc w:val="both"/>
        <w:rPr>
          <w:rFonts w:ascii="Times New Roman" w:hAnsi="Times New Roman" w:cs="Times New Roman"/>
          <w:sz w:val="24"/>
          <w:szCs w:val="24"/>
        </w:rPr>
      </w:pPr>
    </w:p>
    <w:p w14:paraId="0A202E53" w14:textId="77777777" w:rsidR="00AD4F53" w:rsidRDefault="00AD4F53" w:rsidP="00AD4F53">
      <w:pPr>
        <w:spacing w:before="100" w:after="100" w:line="240" w:lineRule="auto"/>
        <w:jc w:val="both"/>
        <w:rPr>
          <w:rFonts w:ascii="Times New Roman" w:hAnsi="Times New Roman" w:cs="Times New Roman"/>
          <w:sz w:val="24"/>
          <w:szCs w:val="24"/>
        </w:rPr>
      </w:pPr>
    </w:p>
    <w:p w14:paraId="0F9DE552" w14:textId="77777777" w:rsidR="00A3444A" w:rsidRDefault="00A3444A" w:rsidP="00AD4F53">
      <w:pPr>
        <w:spacing w:before="100" w:after="100" w:line="240" w:lineRule="auto"/>
        <w:jc w:val="both"/>
        <w:rPr>
          <w:rFonts w:ascii="Times New Roman" w:hAnsi="Times New Roman" w:cs="Times New Roman"/>
          <w:sz w:val="24"/>
          <w:szCs w:val="24"/>
        </w:rPr>
      </w:pPr>
    </w:p>
    <w:p w14:paraId="377332FC" w14:textId="77777777" w:rsidR="00A3444A" w:rsidRDefault="00A3444A" w:rsidP="00AD4F53">
      <w:pPr>
        <w:spacing w:before="100" w:after="100" w:line="240" w:lineRule="auto"/>
        <w:jc w:val="both"/>
        <w:rPr>
          <w:rFonts w:ascii="Times New Roman" w:hAnsi="Times New Roman" w:cs="Times New Roman"/>
          <w:sz w:val="24"/>
          <w:szCs w:val="24"/>
        </w:rPr>
      </w:pPr>
    </w:p>
    <w:p w14:paraId="5977D03A" w14:textId="77777777" w:rsidR="00A3444A" w:rsidRDefault="00A3444A" w:rsidP="00AD4F53">
      <w:pPr>
        <w:spacing w:before="100" w:after="100" w:line="240" w:lineRule="auto"/>
        <w:jc w:val="both"/>
        <w:rPr>
          <w:rFonts w:ascii="Times New Roman" w:hAnsi="Times New Roman" w:cs="Times New Roman"/>
          <w:sz w:val="24"/>
          <w:szCs w:val="24"/>
        </w:rPr>
      </w:pPr>
    </w:p>
    <w:p w14:paraId="647C2360" w14:textId="77777777" w:rsidR="00A3444A" w:rsidRDefault="00A3444A" w:rsidP="00AD4F53">
      <w:pPr>
        <w:spacing w:before="100" w:after="100" w:line="240" w:lineRule="auto"/>
        <w:jc w:val="both"/>
        <w:rPr>
          <w:rFonts w:ascii="Times New Roman" w:hAnsi="Times New Roman" w:cs="Times New Roman"/>
          <w:sz w:val="24"/>
          <w:szCs w:val="24"/>
        </w:rPr>
      </w:pPr>
    </w:p>
    <w:p w14:paraId="0965FFB5" w14:textId="77777777" w:rsidR="00A3444A" w:rsidRDefault="00A3444A" w:rsidP="00AD4F53">
      <w:pPr>
        <w:spacing w:before="100" w:after="100" w:line="240" w:lineRule="auto"/>
        <w:jc w:val="both"/>
        <w:rPr>
          <w:rFonts w:ascii="Times New Roman" w:hAnsi="Times New Roman" w:cs="Times New Roman"/>
          <w:sz w:val="24"/>
          <w:szCs w:val="24"/>
        </w:rPr>
      </w:pPr>
    </w:p>
    <w:p w14:paraId="290F7076" w14:textId="77777777" w:rsidR="00A3444A" w:rsidRDefault="00A3444A" w:rsidP="00AD4F53">
      <w:pPr>
        <w:spacing w:before="100" w:after="100" w:line="240" w:lineRule="auto"/>
        <w:jc w:val="both"/>
        <w:rPr>
          <w:rFonts w:ascii="Times New Roman" w:hAnsi="Times New Roman" w:cs="Times New Roman"/>
          <w:sz w:val="24"/>
          <w:szCs w:val="24"/>
        </w:rPr>
      </w:pPr>
    </w:p>
    <w:p w14:paraId="505A3110" w14:textId="77777777" w:rsidR="00A3444A" w:rsidRDefault="00A3444A" w:rsidP="00AD4F53">
      <w:pPr>
        <w:spacing w:before="100" w:after="100" w:line="240" w:lineRule="auto"/>
        <w:jc w:val="both"/>
        <w:rPr>
          <w:rFonts w:ascii="Times New Roman" w:hAnsi="Times New Roman" w:cs="Times New Roman"/>
          <w:sz w:val="24"/>
          <w:szCs w:val="24"/>
        </w:rPr>
      </w:pPr>
    </w:p>
    <w:p w14:paraId="2F19169E" w14:textId="77777777" w:rsidR="00A3444A" w:rsidRDefault="00A3444A" w:rsidP="00AD4F53">
      <w:pPr>
        <w:spacing w:before="100" w:after="100" w:line="240" w:lineRule="auto"/>
        <w:jc w:val="both"/>
        <w:rPr>
          <w:rFonts w:ascii="Times New Roman" w:hAnsi="Times New Roman" w:cs="Times New Roman"/>
          <w:sz w:val="24"/>
          <w:szCs w:val="24"/>
        </w:rPr>
      </w:pPr>
    </w:p>
    <w:p w14:paraId="70858323" w14:textId="77777777" w:rsidR="00A3444A" w:rsidRDefault="00A3444A" w:rsidP="00AD4F53">
      <w:pPr>
        <w:spacing w:before="100" w:after="100" w:line="240" w:lineRule="auto"/>
        <w:jc w:val="both"/>
        <w:rPr>
          <w:rFonts w:ascii="Times New Roman" w:hAnsi="Times New Roman" w:cs="Times New Roman"/>
          <w:sz w:val="24"/>
          <w:szCs w:val="24"/>
        </w:rPr>
      </w:pPr>
    </w:p>
    <w:p w14:paraId="4D04CA74" w14:textId="77777777" w:rsidR="00A3444A" w:rsidRDefault="00A3444A" w:rsidP="00AD4F53">
      <w:pPr>
        <w:spacing w:before="100" w:after="100" w:line="240" w:lineRule="auto"/>
        <w:jc w:val="both"/>
        <w:rPr>
          <w:rFonts w:ascii="Times New Roman" w:hAnsi="Times New Roman" w:cs="Times New Roman"/>
          <w:sz w:val="24"/>
          <w:szCs w:val="24"/>
        </w:rPr>
      </w:pPr>
    </w:p>
    <w:p w14:paraId="4BD79DFB" w14:textId="77777777" w:rsidR="00A3444A" w:rsidRDefault="00A3444A" w:rsidP="00AD4F53">
      <w:pPr>
        <w:spacing w:before="100" w:after="100" w:line="240" w:lineRule="auto"/>
        <w:jc w:val="both"/>
        <w:rPr>
          <w:rFonts w:ascii="Times New Roman" w:hAnsi="Times New Roman" w:cs="Times New Roman"/>
          <w:sz w:val="24"/>
          <w:szCs w:val="24"/>
        </w:rPr>
      </w:pPr>
    </w:p>
    <w:p w14:paraId="29D477DB" w14:textId="77777777" w:rsidR="00A3444A" w:rsidRDefault="00A3444A" w:rsidP="00AD4F53">
      <w:pPr>
        <w:spacing w:before="100" w:after="100" w:line="240" w:lineRule="auto"/>
        <w:jc w:val="both"/>
        <w:rPr>
          <w:rFonts w:ascii="Times New Roman" w:hAnsi="Times New Roman" w:cs="Times New Roman"/>
          <w:sz w:val="24"/>
          <w:szCs w:val="24"/>
        </w:rPr>
      </w:pPr>
    </w:p>
    <w:p w14:paraId="5706E5F2" w14:textId="77777777" w:rsidR="00A3444A" w:rsidRDefault="00A3444A" w:rsidP="00AD4F53">
      <w:pPr>
        <w:spacing w:before="100" w:after="100" w:line="240" w:lineRule="auto"/>
        <w:jc w:val="both"/>
        <w:rPr>
          <w:rFonts w:ascii="Times New Roman" w:hAnsi="Times New Roman" w:cs="Times New Roman"/>
          <w:sz w:val="24"/>
          <w:szCs w:val="24"/>
        </w:rPr>
      </w:pPr>
    </w:p>
    <w:p w14:paraId="3EB06981" w14:textId="77777777" w:rsidR="00A3444A" w:rsidRDefault="00A3444A" w:rsidP="00AD4F53">
      <w:pPr>
        <w:spacing w:before="100" w:after="100" w:line="240" w:lineRule="auto"/>
        <w:jc w:val="both"/>
        <w:rPr>
          <w:rFonts w:ascii="Times New Roman" w:hAnsi="Times New Roman" w:cs="Times New Roman"/>
          <w:sz w:val="24"/>
          <w:szCs w:val="24"/>
        </w:rPr>
      </w:pPr>
    </w:p>
    <w:p w14:paraId="10CC459E" w14:textId="77777777" w:rsidR="00A3444A" w:rsidRDefault="00A3444A" w:rsidP="00AD4F53">
      <w:pPr>
        <w:spacing w:before="100" w:after="100" w:line="240" w:lineRule="auto"/>
        <w:jc w:val="both"/>
        <w:rPr>
          <w:rFonts w:ascii="Times New Roman" w:hAnsi="Times New Roman" w:cs="Times New Roman"/>
          <w:sz w:val="24"/>
          <w:szCs w:val="24"/>
        </w:rPr>
      </w:pPr>
    </w:p>
    <w:p w14:paraId="07978A61" w14:textId="77777777" w:rsidR="00A3444A" w:rsidRDefault="00A3444A" w:rsidP="00AD4F53">
      <w:pPr>
        <w:spacing w:before="100" w:after="100" w:line="240" w:lineRule="auto"/>
        <w:jc w:val="both"/>
        <w:rPr>
          <w:rFonts w:ascii="Times New Roman" w:hAnsi="Times New Roman" w:cs="Times New Roman"/>
          <w:sz w:val="24"/>
          <w:szCs w:val="24"/>
        </w:rPr>
      </w:pPr>
    </w:p>
    <w:p w14:paraId="5BA465C2" w14:textId="77777777" w:rsidR="00A3444A" w:rsidRDefault="00A3444A" w:rsidP="00AD4F53">
      <w:pPr>
        <w:spacing w:before="100" w:after="100" w:line="240" w:lineRule="auto"/>
        <w:jc w:val="both"/>
        <w:rPr>
          <w:rFonts w:ascii="Times New Roman" w:hAnsi="Times New Roman" w:cs="Times New Roman"/>
          <w:sz w:val="24"/>
          <w:szCs w:val="24"/>
        </w:rPr>
      </w:pPr>
    </w:p>
    <w:p w14:paraId="4CE097FF" w14:textId="77777777" w:rsidR="00A3444A" w:rsidRDefault="00A3444A" w:rsidP="00AD4F53">
      <w:pPr>
        <w:spacing w:before="100" w:after="100" w:line="240" w:lineRule="auto"/>
        <w:jc w:val="both"/>
        <w:rPr>
          <w:rFonts w:ascii="Times New Roman" w:hAnsi="Times New Roman" w:cs="Times New Roman"/>
          <w:sz w:val="24"/>
          <w:szCs w:val="24"/>
        </w:rPr>
      </w:pPr>
    </w:p>
    <w:p w14:paraId="5F33E747" w14:textId="77777777" w:rsidR="00A3444A" w:rsidRPr="00AD4F53" w:rsidRDefault="00A3444A" w:rsidP="00AD4F53">
      <w:pPr>
        <w:spacing w:before="100" w:after="100" w:line="240" w:lineRule="auto"/>
        <w:jc w:val="both"/>
        <w:rPr>
          <w:rFonts w:ascii="Times New Roman" w:hAnsi="Times New Roman" w:cs="Times New Roman"/>
          <w:sz w:val="24"/>
          <w:szCs w:val="24"/>
        </w:rPr>
      </w:pPr>
    </w:p>
    <w:p w14:paraId="653C803C" w14:textId="77777777" w:rsidR="00243671" w:rsidRPr="00AD4F53" w:rsidRDefault="00AD4F53" w:rsidP="00AD4F53">
      <w:pPr>
        <w:spacing w:before="100" w:after="100" w:line="240" w:lineRule="auto"/>
        <w:jc w:val="both"/>
        <w:rPr>
          <w:rFonts w:ascii="Times New Roman" w:hAnsi="Times New Roman" w:cs="Times New Roman"/>
          <w:b/>
          <w:sz w:val="24"/>
          <w:szCs w:val="24"/>
        </w:rPr>
      </w:pPr>
      <w:r w:rsidRPr="00AD4F53">
        <w:rPr>
          <w:rFonts w:ascii="Times New Roman" w:hAnsi="Times New Roman" w:cs="Times New Roman"/>
          <w:b/>
          <w:sz w:val="24"/>
          <w:szCs w:val="24"/>
        </w:rPr>
        <w:lastRenderedPageBreak/>
        <w:t>REFERENCES</w:t>
      </w:r>
    </w:p>
    <w:p w14:paraId="5D1057C9"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Adjei</w:t>
      </w:r>
      <w:proofErr w:type="spellEnd"/>
      <w:r w:rsidRPr="00AD4F53">
        <w:rPr>
          <w:rFonts w:ascii="Times New Roman" w:hAnsi="Times New Roman" w:cs="Times New Roman"/>
          <w:sz w:val="24"/>
          <w:szCs w:val="24"/>
        </w:rPr>
        <w:t>, P. (2021). Gender and Ethnic Diversity in Ghana’s Workforce. African Journal of Business Management, 15(4), 112-129. https://doi.org/10.5897/AJBM2021.9243</w:t>
      </w:r>
    </w:p>
    <w:p w14:paraId="570499A0"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Baloyi</w:t>
      </w:r>
      <w:proofErr w:type="spellEnd"/>
      <w:r w:rsidRPr="00AD4F53">
        <w:rPr>
          <w:rFonts w:ascii="Times New Roman" w:hAnsi="Times New Roman" w:cs="Times New Roman"/>
          <w:sz w:val="24"/>
          <w:szCs w:val="24"/>
        </w:rPr>
        <w:t xml:space="preserve">, K. (2021). Employment Equity in Post-Apartheid South Africa: Trends and Challenges. </w:t>
      </w:r>
      <w:r w:rsidRPr="00AD4F53">
        <w:rPr>
          <w:rFonts w:ascii="Times New Roman" w:hAnsi="Times New Roman" w:cs="Times New Roman"/>
          <w:i/>
          <w:iCs/>
          <w:sz w:val="24"/>
          <w:szCs w:val="24"/>
        </w:rPr>
        <w:t>Journal of African Business</w:t>
      </w:r>
      <w:r w:rsidRPr="00AD4F53">
        <w:rPr>
          <w:rFonts w:ascii="Times New Roman" w:hAnsi="Times New Roman" w:cs="Times New Roman"/>
          <w:sz w:val="24"/>
          <w:szCs w:val="24"/>
        </w:rPr>
        <w:t>, 22(4), 409-425. https://doi.org/10.1080/15228916.2021.1932145</w:t>
      </w:r>
    </w:p>
    <w:p w14:paraId="668686A2"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Brown, A. (2021). Diversity Training and Its Impact on Employee Inclusivity. International Journal of Human Resource Management, 32(4), 789-807. https://doi.org/10.1080/09585192.2020.1788357.</w:t>
      </w:r>
    </w:p>
    <w:p w14:paraId="51E7EA30"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Brown, A. (2021). The Impact of Workplace Diversity Training on Employee Attitudes. </w:t>
      </w:r>
      <w:r w:rsidRPr="00AD4F53">
        <w:rPr>
          <w:rFonts w:ascii="Times New Roman" w:hAnsi="Times New Roman" w:cs="Times New Roman"/>
          <w:i/>
          <w:iCs/>
          <w:sz w:val="24"/>
          <w:szCs w:val="24"/>
        </w:rPr>
        <w:t>Journal of Diversity Management</w:t>
      </w:r>
      <w:r w:rsidRPr="00AD4F53">
        <w:rPr>
          <w:rFonts w:ascii="Times New Roman" w:hAnsi="Times New Roman" w:cs="Times New Roman"/>
          <w:sz w:val="24"/>
          <w:szCs w:val="24"/>
        </w:rPr>
        <w:t>, 15(1), 112-125. https://doi.org/10.1177/2158244015608123</w:t>
      </w:r>
    </w:p>
    <w:p w14:paraId="49101E83"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Clark, P. (2018). Representation of Women and Minorities in Management: Trends and Challenges. </w:t>
      </w:r>
      <w:r w:rsidRPr="00AD4F53">
        <w:rPr>
          <w:rFonts w:ascii="Times New Roman" w:hAnsi="Times New Roman" w:cs="Times New Roman"/>
          <w:i/>
          <w:iCs/>
          <w:sz w:val="24"/>
          <w:szCs w:val="24"/>
        </w:rPr>
        <w:t>Human Resource Management Journal</w:t>
      </w:r>
      <w:r w:rsidRPr="00AD4F53">
        <w:rPr>
          <w:rFonts w:ascii="Times New Roman" w:hAnsi="Times New Roman" w:cs="Times New Roman"/>
          <w:sz w:val="24"/>
          <w:szCs w:val="24"/>
        </w:rPr>
        <w:t>, 28(3), 305-320. https://doi.org/10.1002/hrm.21915</w:t>
      </w:r>
    </w:p>
    <w:p w14:paraId="0A6F50B9"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Delgado, R., &amp; </w:t>
      </w:r>
      <w:proofErr w:type="spellStart"/>
      <w:r w:rsidRPr="00AD4F53">
        <w:rPr>
          <w:rFonts w:ascii="Times New Roman" w:hAnsi="Times New Roman" w:cs="Times New Roman"/>
          <w:sz w:val="24"/>
          <w:szCs w:val="24"/>
        </w:rPr>
        <w:t>Stefancic</w:t>
      </w:r>
      <w:proofErr w:type="spellEnd"/>
      <w:r w:rsidRPr="00AD4F53">
        <w:rPr>
          <w:rFonts w:ascii="Times New Roman" w:hAnsi="Times New Roman" w:cs="Times New Roman"/>
          <w:sz w:val="24"/>
          <w:szCs w:val="24"/>
        </w:rPr>
        <w:t>, J. (2021). Critical race theory: An introduction (3rd ed.). NYU Press.</w:t>
      </w:r>
    </w:p>
    <w:p w14:paraId="6B788778"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Demir</w:t>
      </w:r>
      <w:proofErr w:type="spellEnd"/>
      <w:r w:rsidRPr="00AD4F53">
        <w:rPr>
          <w:rFonts w:ascii="Times New Roman" w:hAnsi="Times New Roman" w:cs="Times New Roman"/>
          <w:sz w:val="24"/>
          <w:szCs w:val="24"/>
        </w:rPr>
        <w:t>, A. (2022). Ethnic and Gender Diversity in Turkey’s Workforce. Journal of Business Diversity, 22(2), 55-71. https://doi.org/10.33423/jbd.v22i2.4518</w:t>
      </w:r>
    </w:p>
    <w:p w14:paraId="09F204A0"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Frye, M. (2021). Diversity in the US Workforce: Trends and Implications. Journal of Labor Research, 42(1), 102-118. https://doi.org/10.1007/s12122-021-09317-8</w:t>
      </w:r>
    </w:p>
    <w:p w14:paraId="24A835AF"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Garcia, P. (2018). Anti-Discrimination Laws and Ethnic Diversity in Spanish Corporations. European Journal of International Management, 12(2), 134-151. https://doi.org/10.1504/EJIM.2018.092443.</w:t>
      </w:r>
    </w:p>
    <w:p w14:paraId="64203FF5"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Gomez, P. (2022). Indigenous Representation and Gender Diversity in Mexico. Latin American Business Review, 23(1), 78-95. https://doi.org/10.1080/10978526.2022.2012111</w:t>
      </w:r>
    </w:p>
    <w:p w14:paraId="44427B7C"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Jones, M. (2019). The Role of Equal Employment Opportunity Policies in Promoting Workplace Diversity. </w:t>
      </w:r>
      <w:r w:rsidRPr="00AD4F53">
        <w:rPr>
          <w:rFonts w:ascii="Times New Roman" w:hAnsi="Times New Roman" w:cs="Times New Roman"/>
          <w:i/>
          <w:iCs/>
          <w:sz w:val="24"/>
          <w:szCs w:val="24"/>
        </w:rPr>
        <w:t>Journal of Business Ethics</w:t>
      </w:r>
      <w:r w:rsidRPr="00AD4F53">
        <w:rPr>
          <w:rFonts w:ascii="Times New Roman" w:hAnsi="Times New Roman" w:cs="Times New Roman"/>
          <w:sz w:val="24"/>
          <w:szCs w:val="24"/>
        </w:rPr>
        <w:t>, 160(3), 635-647. https://doi.org/10.1007/s10551-018-3905-9</w:t>
      </w:r>
    </w:p>
    <w:p w14:paraId="458829F3"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Jones, M. (2020). Effectiveness of EEO Laws in Promoting Gender Diversity in Tech. Journal of Human Resources, 65(3), 512-528. https://doi.org/10.1016/j.jhr.2019.09.014.</w:t>
      </w:r>
    </w:p>
    <w:p w14:paraId="13BE2A51"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Kato, T. (2021). Gender Diversity in Japan’s Workforce: An Analysis of Trends and Policies. </w:t>
      </w:r>
      <w:r w:rsidRPr="00AD4F53">
        <w:rPr>
          <w:rFonts w:ascii="Times New Roman" w:hAnsi="Times New Roman" w:cs="Times New Roman"/>
          <w:i/>
          <w:iCs/>
          <w:sz w:val="24"/>
          <w:szCs w:val="24"/>
        </w:rPr>
        <w:t>Asian Economic Policy Review</w:t>
      </w:r>
      <w:r w:rsidRPr="00AD4F53">
        <w:rPr>
          <w:rFonts w:ascii="Times New Roman" w:hAnsi="Times New Roman" w:cs="Times New Roman"/>
          <w:sz w:val="24"/>
          <w:szCs w:val="24"/>
        </w:rPr>
        <w:t>, 16(2), 239-257. https://doi.org/10.1111/aepr.12298</w:t>
      </w:r>
    </w:p>
    <w:p w14:paraId="016A3381"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Li, H. (2020). Impact of Anti-Discrimination Legislation on Workplace Diversity in China. Asian Business &amp; Management, 19(3), 289-306. https://doi.org/10.1057/s41291-019-00115-3.</w:t>
      </w:r>
    </w:p>
    <w:p w14:paraId="624699AD"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Li, H. (2022). Workplace Diversity in China: Trends and Challenges. Asian Business &amp; Management, 21(3), 309-328. https://doi.org/10.1057/s41291-021-00162-5</w:t>
      </w:r>
    </w:p>
    <w:p w14:paraId="49827C6E"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Meyer, J. W., &amp; Rowan, B. (2019). Institutionalized organizations: Formal structure as myth and ceremony. In A. J. Scott &amp; D. S. Davis (Eds.), Theories of globalization. Sage Publications.</w:t>
      </w:r>
    </w:p>
    <w:p w14:paraId="2DEC738F"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lastRenderedPageBreak/>
        <w:t>Moyo</w:t>
      </w:r>
      <w:proofErr w:type="spellEnd"/>
      <w:r w:rsidRPr="00AD4F53">
        <w:rPr>
          <w:rFonts w:ascii="Times New Roman" w:hAnsi="Times New Roman" w:cs="Times New Roman"/>
          <w:sz w:val="24"/>
          <w:szCs w:val="24"/>
        </w:rPr>
        <w:t xml:space="preserve">, T. (2021). Women in Leadership: Progress and Challenges in South Africa. </w:t>
      </w:r>
      <w:r w:rsidRPr="00AD4F53">
        <w:rPr>
          <w:rFonts w:ascii="Times New Roman" w:hAnsi="Times New Roman" w:cs="Times New Roman"/>
          <w:i/>
          <w:iCs/>
          <w:sz w:val="24"/>
          <w:szCs w:val="24"/>
        </w:rPr>
        <w:t>Gender and Development</w:t>
      </w:r>
      <w:r w:rsidRPr="00AD4F53">
        <w:rPr>
          <w:rFonts w:ascii="Times New Roman" w:hAnsi="Times New Roman" w:cs="Times New Roman"/>
          <w:sz w:val="24"/>
          <w:szCs w:val="24"/>
        </w:rPr>
        <w:t>, 29(3), 413-431. https://doi.org/10.1080/13552074.2021.1977436</w:t>
      </w:r>
    </w:p>
    <w:p w14:paraId="631A087E"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Mwakyembe</w:t>
      </w:r>
      <w:proofErr w:type="spellEnd"/>
      <w:r w:rsidRPr="00AD4F53">
        <w:rPr>
          <w:rFonts w:ascii="Times New Roman" w:hAnsi="Times New Roman" w:cs="Times New Roman"/>
          <w:sz w:val="24"/>
          <w:szCs w:val="24"/>
        </w:rPr>
        <w:t>, H. (2022). Trends in Workplace Diversity in Tanzania. Journal of African Business, 23(2), 210-227. https://doi.org/10.1080/15228916.2022.1991936</w:t>
      </w:r>
    </w:p>
    <w:p w14:paraId="78C4B7EA"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Mwangi</w:t>
      </w:r>
      <w:proofErr w:type="spellEnd"/>
      <w:r w:rsidRPr="00AD4F53">
        <w:rPr>
          <w:rFonts w:ascii="Times New Roman" w:hAnsi="Times New Roman" w:cs="Times New Roman"/>
          <w:sz w:val="24"/>
          <w:szCs w:val="24"/>
        </w:rPr>
        <w:t>, J. (2022). Gender and Ethnic Diversity in Kenya’s Workforce. East African Business Review, 28(1), 77-94. https://doi.org/10.1080/22336392.2022.2037459</w:t>
      </w:r>
    </w:p>
    <w:p w14:paraId="2DD08CA9"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Neri</w:t>
      </w:r>
      <w:proofErr w:type="spellEnd"/>
      <w:r w:rsidRPr="00AD4F53">
        <w:rPr>
          <w:rFonts w:ascii="Times New Roman" w:hAnsi="Times New Roman" w:cs="Times New Roman"/>
          <w:sz w:val="24"/>
          <w:szCs w:val="24"/>
        </w:rPr>
        <w:t xml:space="preserve">, M. (2022). The Changing Face of Workforce Diversity in Brazil. </w:t>
      </w:r>
      <w:r w:rsidRPr="00AD4F53">
        <w:rPr>
          <w:rFonts w:ascii="Times New Roman" w:hAnsi="Times New Roman" w:cs="Times New Roman"/>
          <w:i/>
          <w:iCs/>
          <w:sz w:val="24"/>
          <w:szCs w:val="24"/>
        </w:rPr>
        <w:t>Brazilian Journal of Business Research</w:t>
      </w:r>
      <w:r w:rsidRPr="00AD4F53">
        <w:rPr>
          <w:rFonts w:ascii="Times New Roman" w:hAnsi="Times New Roman" w:cs="Times New Roman"/>
          <w:sz w:val="24"/>
          <w:szCs w:val="24"/>
        </w:rPr>
        <w:t>, 38(1), 15-32. https://doi.org/10.1590/1807-7692brb2022-0015</w:t>
      </w:r>
    </w:p>
    <w:p w14:paraId="34B10497"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Nguyen, T. (2022). Effectiveness of Labor Code Amendments on Gender Diversity in Vietnam. Journal of Asia Business Studies, 16(1), 54-70. https://doi.org/10.1108/JABS-09-2020-0375.</w:t>
      </w:r>
    </w:p>
    <w:p w14:paraId="0609DC7E"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Nsubuga</w:t>
      </w:r>
      <w:proofErr w:type="spellEnd"/>
      <w:r w:rsidRPr="00AD4F53">
        <w:rPr>
          <w:rFonts w:ascii="Times New Roman" w:hAnsi="Times New Roman" w:cs="Times New Roman"/>
          <w:sz w:val="24"/>
          <w:szCs w:val="24"/>
        </w:rPr>
        <w:t>, J. (2022). Workplace Diversity in Uganda: Gender and Ethnic Representation. Journal of Development Studies, 58(3), 401-418. https://doi.org/10.1080/00220388.2022.1981836</w:t>
      </w:r>
    </w:p>
    <w:p w14:paraId="435C73C3"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Ogunleye</w:t>
      </w:r>
      <w:proofErr w:type="spellEnd"/>
      <w:r w:rsidRPr="00AD4F53">
        <w:rPr>
          <w:rFonts w:ascii="Times New Roman" w:hAnsi="Times New Roman" w:cs="Times New Roman"/>
          <w:sz w:val="24"/>
          <w:szCs w:val="24"/>
        </w:rPr>
        <w:t>, A. (2022). Ethnic Diversity in Nigeria’s Corporate Sector. International Journal of Business and Management, 17(3), 25-41. https://doi.org/10.5539/ijbm.v17n3p25</w:t>
      </w:r>
    </w:p>
    <w:p w14:paraId="4CD1DD33"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Ogunleye</w:t>
      </w:r>
      <w:proofErr w:type="spellEnd"/>
      <w:r w:rsidRPr="00AD4F53">
        <w:rPr>
          <w:rFonts w:ascii="Times New Roman" w:hAnsi="Times New Roman" w:cs="Times New Roman"/>
          <w:sz w:val="24"/>
          <w:szCs w:val="24"/>
        </w:rPr>
        <w:t xml:space="preserve">, A. (2022). Ethnic Diversity in Nigeria’s Corporate Sector. </w:t>
      </w:r>
      <w:r w:rsidRPr="00AD4F53">
        <w:rPr>
          <w:rFonts w:ascii="Times New Roman" w:hAnsi="Times New Roman" w:cs="Times New Roman"/>
          <w:i/>
          <w:iCs/>
          <w:sz w:val="24"/>
          <w:szCs w:val="24"/>
        </w:rPr>
        <w:t>International Journal of Business and Management</w:t>
      </w:r>
      <w:r w:rsidRPr="00AD4F53">
        <w:rPr>
          <w:rFonts w:ascii="Times New Roman" w:hAnsi="Times New Roman" w:cs="Times New Roman"/>
          <w:sz w:val="24"/>
          <w:szCs w:val="24"/>
        </w:rPr>
        <w:t>, 17(3), 25-41. https://doi.org/10.5539/ijbm.v17n3p25</w:t>
      </w:r>
    </w:p>
    <w:p w14:paraId="2A1FD3CE"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 Patel, R. (2021). Women in Technology: The Rising Trend in India. Journal of South Asian Development, 16(1), 57-74. https://doi.org/10.1177/0973174121992471</w:t>
      </w:r>
    </w:p>
    <w:p w14:paraId="220D5D5B"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Rahman, D. (2022). Gender and Ethnic Diversity in Indonesia’s Workforce. Journal of Southeast Asian Economies, 39(1), 45-61. https://doi.org/10.1355/ae39-1d</w:t>
      </w:r>
    </w:p>
    <w:p w14:paraId="75C32587"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Smith, L. (2019). Impact of Affirmative Action on Corporate Diversity: A Case Study of Fortune 500 Companies. Journal of Business Ethics, 158(2), 345-359. https://doi.org/10.1007/s10551-017-3713-5.</w:t>
      </w:r>
    </w:p>
    <w:p w14:paraId="5A839218"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Smith, L. (2020). Affirmative Action and Workplace Diversity: A Critical Analysis. </w:t>
      </w:r>
      <w:r w:rsidRPr="00AD4F53">
        <w:rPr>
          <w:rFonts w:ascii="Times New Roman" w:hAnsi="Times New Roman" w:cs="Times New Roman"/>
          <w:i/>
          <w:iCs/>
          <w:sz w:val="24"/>
          <w:szCs w:val="24"/>
        </w:rPr>
        <w:t>Public Administration Review</w:t>
      </w:r>
      <w:r w:rsidRPr="00AD4F53">
        <w:rPr>
          <w:rFonts w:ascii="Times New Roman" w:hAnsi="Times New Roman" w:cs="Times New Roman"/>
          <w:sz w:val="24"/>
          <w:szCs w:val="24"/>
        </w:rPr>
        <w:t>, 80(4), 563-575. https://doi.org/10.1111/puar.13145</w:t>
      </w:r>
    </w:p>
    <w:p w14:paraId="04888BD9"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proofErr w:type="spellStart"/>
      <w:r w:rsidRPr="00AD4F53">
        <w:rPr>
          <w:rFonts w:ascii="Times New Roman" w:hAnsi="Times New Roman" w:cs="Times New Roman"/>
          <w:sz w:val="24"/>
          <w:szCs w:val="24"/>
        </w:rPr>
        <w:t>Tajfel</w:t>
      </w:r>
      <w:proofErr w:type="spellEnd"/>
      <w:r w:rsidRPr="00AD4F53">
        <w:rPr>
          <w:rFonts w:ascii="Times New Roman" w:hAnsi="Times New Roman" w:cs="Times New Roman"/>
          <w:sz w:val="24"/>
          <w:szCs w:val="24"/>
        </w:rPr>
        <w:t>, H., &amp; Turner, J. C. (2020). Social identity and intergroup relations. Cambridge University Press.</w:t>
      </w:r>
    </w:p>
    <w:p w14:paraId="0569B13E" w14:textId="77777777" w:rsidR="00AD4F53" w:rsidRP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Taylor, J. (2022). Influence of the Equality Act on Workplace Diversity in the UK Financial Sector. Journal of Employment and Labor Law, 44(1), 112-130. https://doi.org/10.1177/2158244022107436</w:t>
      </w:r>
    </w:p>
    <w:p w14:paraId="42C14DD9" w14:textId="52BED2C4" w:rsidR="00AD4F53" w:rsidRDefault="00AD4F53" w:rsidP="00AD4F53">
      <w:pPr>
        <w:spacing w:before="100" w:after="100" w:line="240" w:lineRule="auto"/>
        <w:ind w:left="720" w:hanging="720"/>
        <w:rPr>
          <w:rFonts w:ascii="Times New Roman" w:hAnsi="Times New Roman" w:cs="Times New Roman"/>
          <w:sz w:val="24"/>
          <w:szCs w:val="24"/>
        </w:rPr>
      </w:pPr>
      <w:r w:rsidRPr="00AD4F53">
        <w:rPr>
          <w:rFonts w:ascii="Times New Roman" w:hAnsi="Times New Roman" w:cs="Times New Roman"/>
          <w:sz w:val="24"/>
          <w:szCs w:val="24"/>
        </w:rPr>
        <w:t xml:space="preserve">Williams, R. (2020). Compliance Audits and Diversity Outcomes in the Workplace. </w:t>
      </w:r>
      <w:r w:rsidRPr="00AD4F53">
        <w:rPr>
          <w:rFonts w:ascii="Times New Roman" w:hAnsi="Times New Roman" w:cs="Times New Roman"/>
          <w:i/>
          <w:iCs/>
          <w:sz w:val="24"/>
          <w:szCs w:val="24"/>
        </w:rPr>
        <w:t>Journal of Employment Discrimination Law</w:t>
      </w:r>
      <w:r w:rsidRPr="00AD4F53">
        <w:rPr>
          <w:rFonts w:ascii="Times New Roman" w:hAnsi="Times New Roman" w:cs="Times New Roman"/>
          <w:sz w:val="24"/>
          <w:szCs w:val="24"/>
        </w:rPr>
        <w:t>, 45(2), 275-289. https://doi.org/10.2307/26962411</w:t>
      </w:r>
    </w:p>
    <w:p w14:paraId="7DA895FF" w14:textId="3220A5BB" w:rsidR="00CC598C" w:rsidRDefault="00CC598C" w:rsidP="00AD4F53">
      <w:pPr>
        <w:spacing w:before="100" w:after="100" w:line="240" w:lineRule="auto"/>
        <w:ind w:left="720" w:hanging="720"/>
        <w:rPr>
          <w:rFonts w:ascii="Times New Roman" w:hAnsi="Times New Roman" w:cs="Times New Roman"/>
          <w:sz w:val="24"/>
          <w:szCs w:val="24"/>
        </w:rPr>
      </w:pPr>
    </w:p>
    <w:p w14:paraId="2982BAF8" w14:textId="0941BCEA" w:rsidR="00CC598C" w:rsidRDefault="00CC598C" w:rsidP="00AD4F53">
      <w:pPr>
        <w:spacing w:before="100" w:after="100" w:line="240" w:lineRule="auto"/>
        <w:ind w:left="720" w:hanging="720"/>
        <w:rPr>
          <w:rFonts w:ascii="Times New Roman" w:hAnsi="Times New Roman" w:cs="Times New Roman"/>
          <w:sz w:val="24"/>
          <w:szCs w:val="24"/>
        </w:rPr>
      </w:pPr>
    </w:p>
    <w:p w14:paraId="39F91E45" w14:textId="7CDCD58F" w:rsidR="00CC598C" w:rsidRDefault="00CC598C" w:rsidP="00AD4F53">
      <w:pPr>
        <w:spacing w:before="100" w:after="100" w:line="240" w:lineRule="auto"/>
        <w:ind w:left="720" w:hanging="720"/>
        <w:rPr>
          <w:rFonts w:ascii="Times New Roman" w:hAnsi="Times New Roman" w:cs="Times New Roman"/>
          <w:sz w:val="24"/>
          <w:szCs w:val="24"/>
        </w:rPr>
      </w:pPr>
    </w:p>
    <w:p w14:paraId="3EF9CDBA" w14:textId="6A88584F" w:rsidR="00CC598C" w:rsidRDefault="00CC598C" w:rsidP="00AD4F53">
      <w:pPr>
        <w:spacing w:before="100" w:after="100" w:line="240" w:lineRule="auto"/>
        <w:ind w:left="720" w:hanging="720"/>
        <w:rPr>
          <w:rFonts w:ascii="Times New Roman" w:hAnsi="Times New Roman" w:cs="Times New Roman"/>
          <w:sz w:val="24"/>
          <w:szCs w:val="24"/>
        </w:rPr>
      </w:pPr>
    </w:p>
    <w:p w14:paraId="0BB0CA42" w14:textId="77777777" w:rsidR="00CC598C" w:rsidRPr="00AD4F53" w:rsidRDefault="00CC598C" w:rsidP="00AD4F53">
      <w:pPr>
        <w:spacing w:before="100" w:after="100" w:line="240" w:lineRule="auto"/>
        <w:ind w:left="720" w:hanging="720"/>
        <w:rPr>
          <w:rFonts w:ascii="Times New Roman" w:hAnsi="Times New Roman" w:cs="Times New Roman"/>
          <w:sz w:val="24"/>
          <w:szCs w:val="24"/>
        </w:rPr>
      </w:pPr>
    </w:p>
    <w:p w14:paraId="1C46334B" w14:textId="77777777" w:rsidR="00CC598C" w:rsidRPr="00CC598C" w:rsidRDefault="00CC598C" w:rsidP="00CC598C">
      <w:pPr>
        <w:spacing w:after="0" w:line="240" w:lineRule="auto"/>
        <w:outlineLvl w:val="1"/>
        <w:rPr>
          <w:rFonts w:ascii="Times New Roman" w:eastAsia="Times New Roman" w:hAnsi="Times New Roman" w:cs="Times New Roman"/>
          <w:b/>
          <w:bCs/>
          <w:sz w:val="24"/>
          <w:szCs w:val="24"/>
        </w:rPr>
      </w:pPr>
      <w:r w:rsidRPr="00CC598C">
        <w:rPr>
          <w:rFonts w:ascii="Times New Roman" w:eastAsia="Times New Roman" w:hAnsi="Times New Roman" w:cs="Times New Roman"/>
          <w:b/>
          <w:bCs/>
          <w:sz w:val="24"/>
          <w:szCs w:val="24"/>
        </w:rPr>
        <w:lastRenderedPageBreak/>
        <w:t xml:space="preserve">License </w:t>
      </w:r>
    </w:p>
    <w:p w14:paraId="4C2A9458" w14:textId="77777777" w:rsidR="00CC598C" w:rsidRPr="00CC598C" w:rsidRDefault="00CC598C" w:rsidP="00CC598C">
      <w:pPr>
        <w:spacing w:after="0" w:line="240" w:lineRule="auto"/>
        <w:rPr>
          <w:rFonts w:ascii="Times New Roman" w:eastAsia="Times New Roman" w:hAnsi="Times New Roman" w:cs="Times New Roman"/>
          <w:i/>
          <w:sz w:val="24"/>
          <w:szCs w:val="24"/>
        </w:rPr>
      </w:pPr>
      <w:r w:rsidRPr="00CC598C">
        <w:rPr>
          <w:rFonts w:ascii="Times New Roman" w:eastAsia="Times New Roman" w:hAnsi="Times New Roman" w:cs="Times New Roman"/>
          <w:i/>
          <w:sz w:val="24"/>
          <w:szCs w:val="24"/>
        </w:rPr>
        <w:t xml:space="preserve">Copyright (c) 2024 Johnson </w:t>
      </w:r>
      <w:proofErr w:type="spellStart"/>
      <w:r w:rsidRPr="00CC598C">
        <w:rPr>
          <w:rFonts w:ascii="Times New Roman" w:eastAsia="Times New Roman" w:hAnsi="Times New Roman" w:cs="Times New Roman"/>
          <w:i/>
          <w:sz w:val="24"/>
          <w:szCs w:val="24"/>
        </w:rPr>
        <w:t>Werema</w:t>
      </w:r>
      <w:proofErr w:type="spellEnd"/>
    </w:p>
    <w:p w14:paraId="1889D47B" w14:textId="77777777" w:rsidR="00CC598C" w:rsidRPr="00CC598C" w:rsidRDefault="00CC598C" w:rsidP="00CC598C">
      <w:pPr>
        <w:spacing w:after="0" w:line="240" w:lineRule="auto"/>
        <w:rPr>
          <w:rFonts w:ascii="Times New Roman" w:eastAsia="Times New Roman" w:hAnsi="Times New Roman" w:cs="Times New Roman"/>
          <w:i/>
          <w:sz w:val="24"/>
          <w:szCs w:val="24"/>
        </w:rPr>
      </w:pPr>
      <w:r w:rsidRPr="00CC598C">
        <w:rPr>
          <w:rFonts w:ascii="Times New Roman" w:eastAsia="Times New Roman" w:hAnsi="Times New Roman" w:cs="Times New Roman"/>
          <w:i/>
          <w:noProof/>
          <w:color w:val="0000FF"/>
          <w:sz w:val="24"/>
          <w:szCs w:val="24"/>
        </w:rPr>
        <w:drawing>
          <wp:inline distT="0" distB="0" distL="0" distR="0" wp14:anchorId="74CCDAD6" wp14:editId="71F43D46">
            <wp:extent cx="843280" cy="297180"/>
            <wp:effectExtent l="0" t="0" r="0" b="7620"/>
            <wp:docPr id="5" name="Picture 5"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7AA9245C" w14:textId="77777777" w:rsidR="00CC598C" w:rsidRPr="00CC598C" w:rsidRDefault="00CC598C" w:rsidP="00CC598C">
      <w:pPr>
        <w:spacing w:after="0" w:line="240" w:lineRule="auto"/>
        <w:rPr>
          <w:rFonts w:ascii="Times New Roman" w:eastAsia="Times New Roman" w:hAnsi="Times New Roman" w:cs="Times New Roman"/>
          <w:i/>
          <w:sz w:val="24"/>
          <w:szCs w:val="24"/>
        </w:rPr>
      </w:pPr>
      <w:r w:rsidRPr="00CC598C">
        <w:rPr>
          <w:rFonts w:ascii="Times New Roman" w:eastAsia="Times New Roman" w:hAnsi="Times New Roman" w:cs="Times New Roman"/>
          <w:i/>
          <w:sz w:val="24"/>
          <w:szCs w:val="24"/>
        </w:rPr>
        <w:t xml:space="preserve">This work is licensed under a </w:t>
      </w:r>
      <w:hyperlink r:id="rId16" w:history="1">
        <w:r w:rsidRPr="00CC598C">
          <w:rPr>
            <w:rFonts w:ascii="Times New Roman" w:eastAsia="Times New Roman" w:hAnsi="Times New Roman" w:cs="Times New Roman"/>
            <w:i/>
            <w:color w:val="0000FF"/>
            <w:sz w:val="24"/>
            <w:szCs w:val="24"/>
            <w:u w:val="single"/>
          </w:rPr>
          <w:t>Creative Commons Attribution 4.0 International License</w:t>
        </w:r>
      </w:hyperlink>
      <w:r w:rsidRPr="00CC598C">
        <w:rPr>
          <w:rFonts w:ascii="Times New Roman" w:eastAsia="Times New Roman" w:hAnsi="Times New Roman" w:cs="Times New Roman"/>
          <w:i/>
          <w:sz w:val="24"/>
          <w:szCs w:val="24"/>
        </w:rPr>
        <w:t>.</w:t>
      </w:r>
    </w:p>
    <w:p w14:paraId="45E4C7AC" w14:textId="77777777" w:rsidR="00CC598C" w:rsidRPr="00CC598C" w:rsidRDefault="00CC598C" w:rsidP="00CC598C">
      <w:pPr>
        <w:spacing w:after="0" w:line="240" w:lineRule="auto"/>
        <w:rPr>
          <w:rFonts w:ascii="Times New Roman" w:eastAsia="Times New Roman" w:hAnsi="Times New Roman" w:cs="Times New Roman"/>
          <w:i/>
          <w:sz w:val="24"/>
          <w:szCs w:val="24"/>
        </w:rPr>
      </w:pPr>
      <w:r w:rsidRPr="00CC598C">
        <w:rPr>
          <w:rFonts w:ascii="Times New Roman" w:eastAsia="Times New Roman" w:hAnsi="Times New Roman" w:cs="Times New Roman"/>
          <w:i/>
          <w:sz w:val="24"/>
          <w:szCs w:val="24"/>
        </w:rPr>
        <w:t>Authors retain copyright and grant the journal right of first publication with the work simultaneously licensed under a </w:t>
      </w:r>
      <w:hyperlink r:id="rId17" w:history="1">
        <w:r w:rsidRPr="00CC598C">
          <w:rPr>
            <w:rFonts w:ascii="Times New Roman" w:eastAsia="Times New Roman" w:hAnsi="Times New Roman" w:cs="Times New Roman"/>
            <w:i/>
            <w:color w:val="0000FF"/>
            <w:sz w:val="24"/>
            <w:szCs w:val="24"/>
            <w:u w:val="single"/>
          </w:rPr>
          <w:t>Creative Commons Attribution (CC-BY) 4.0 License</w:t>
        </w:r>
      </w:hyperlink>
      <w:r w:rsidRPr="00CC598C">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0CD44BC3" w14:textId="77777777" w:rsidR="001C184A" w:rsidRPr="00AD4F53" w:rsidRDefault="001C184A" w:rsidP="00AD4F53">
      <w:pPr>
        <w:spacing w:before="100" w:after="100" w:line="240" w:lineRule="auto"/>
        <w:jc w:val="both"/>
        <w:rPr>
          <w:rFonts w:ascii="Times New Roman" w:hAnsi="Times New Roman" w:cs="Times New Roman"/>
          <w:sz w:val="24"/>
          <w:szCs w:val="24"/>
        </w:rPr>
      </w:pPr>
    </w:p>
    <w:sectPr w:rsidR="001C184A" w:rsidRPr="00AD4F53" w:rsidSect="0024160C">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4A6E5" w14:textId="77777777" w:rsidR="008D7FB9" w:rsidRDefault="008D7FB9" w:rsidP="00A3444A">
      <w:pPr>
        <w:spacing w:after="0" w:line="240" w:lineRule="auto"/>
      </w:pPr>
      <w:r>
        <w:separator/>
      </w:r>
    </w:p>
  </w:endnote>
  <w:endnote w:type="continuationSeparator" w:id="0">
    <w:p w14:paraId="1D3FC8F4" w14:textId="77777777" w:rsidR="008D7FB9" w:rsidRDefault="008D7FB9" w:rsidP="00A3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359830"/>
      <w:docPartObj>
        <w:docPartGallery w:val="Page Numbers (Bottom of Page)"/>
        <w:docPartUnique/>
      </w:docPartObj>
    </w:sdtPr>
    <w:sdtEndPr>
      <w:rPr>
        <w:rFonts w:ascii="Times New Roman" w:hAnsi="Times New Roman" w:cs="Times New Roman"/>
        <w:noProof/>
        <w:sz w:val="24"/>
      </w:rPr>
    </w:sdtEndPr>
    <w:sdtContent>
      <w:p w14:paraId="15E1141E" w14:textId="37F38DCC" w:rsidR="00A3444A" w:rsidRPr="00A3444A" w:rsidRDefault="00CC598C" w:rsidP="00CC598C">
        <w:pPr>
          <w:pStyle w:val="Footer"/>
          <w:rPr>
            <w:rFonts w:ascii="Times New Roman" w:hAnsi="Times New Roman" w:cs="Times New Roman"/>
            <w:sz w:val="24"/>
          </w:rPr>
        </w:pPr>
        <w:r w:rsidRPr="00CC598C">
          <w:t xml:space="preserve">https://doi.org/10.47672/ajl.2304 </w:t>
        </w:r>
        <w:r w:rsidR="00DE52C7">
          <w:t xml:space="preserve">                               </w:t>
        </w:r>
        <w:r w:rsidR="00A3444A">
          <w:t xml:space="preserve"> </w:t>
        </w:r>
        <w:r w:rsidR="00A3444A" w:rsidRPr="00A3444A">
          <w:rPr>
            <w:rFonts w:ascii="Times New Roman" w:hAnsi="Times New Roman" w:cs="Times New Roman"/>
            <w:sz w:val="24"/>
          </w:rPr>
          <w:fldChar w:fldCharType="begin"/>
        </w:r>
        <w:r w:rsidR="00A3444A" w:rsidRPr="00A3444A">
          <w:rPr>
            <w:rFonts w:ascii="Times New Roman" w:hAnsi="Times New Roman" w:cs="Times New Roman"/>
            <w:sz w:val="24"/>
          </w:rPr>
          <w:instrText xml:space="preserve"> PAGE   \* MERGEFORMAT </w:instrText>
        </w:r>
        <w:r w:rsidR="00A3444A" w:rsidRPr="00A3444A">
          <w:rPr>
            <w:rFonts w:ascii="Times New Roman" w:hAnsi="Times New Roman" w:cs="Times New Roman"/>
            <w:sz w:val="24"/>
          </w:rPr>
          <w:fldChar w:fldCharType="separate"/>
        </w:r>
        <w:r w:rsidR="00DE52C7">
          <w:rPr>
            <w:rFonts w:ascii="Times New Roman" w:hAnsi="Times New Roman" w:cs="Times New Roman"/>
            <w:noProof/>
            <w:sz w:val="24"/>
          </w:rPr>
          <w:t>12</w:t>
        </w:r>
        <w:r w:rsidR="00A3444A" w:rsidRPr="00A3444A">
          <w:rPr>
            <w:rFonts w:ascii="Times New Roman" w:hAnsi="Times New Roman" w:cs="Times New Roman"/>
            <w:noProof/>
            <w:sz w:val="24"/>
          </w:rPr>
          <w:fldChar w:fldCharType="end"/>
        </w:r>
        <w:r w:rsidR="00A3444A" w:rsidRPr="00A3444A">
          <w:rPr>
            <w:rFonts w:ascii="Times New Roman" w:hAnsi="Times New Roman" w:cs="Times New Roman"/>
            <w:noProof/>
            <w:sz w:val="24"/>
          </w:rPr>
          <w:t xml:space="preserve">          Werema (2024) </w:t>
        </w:r>
      </w:p>
    </w:sdtContent>
  </w:sdt>
  <w:p w14:paraId="76CD7027" w14:textId="77777777" w:rsidR="00A3444A" w:rsidRDefault="00A344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AD609" w14:textId="77777777" w:rsidR="008D7FB9" w:rsidRDefault="008D7FB9" w:rsidP="00A3444A">
      <w:pPr>
        <w:spacing w:after="0" w:line="240" w:lineRule="auto"/>
      </w:pPr>
      <w:r>
        <w:separator/>
      </w:r>
    </w:p>
  </w:footnote>
  <w:footnote w:type="continuationSeparator" w:id="0">
    <w:p w14:paraId="33F9549D" w14:textId="77777777" w:rsidR="008D7FB9" w:rsidRDefault="008D7FB9" w:rsidP="00A3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1EF1" w14:textId="77777777" w:rsidR="00A3444A" w:rsidRPr="009A5895" w:rsidRDefault="00A3444A" w:rsidP="00A3444A">
    <w:pPr>
      <w:tabs>
        <w:tab w:val="center" w:pos="4680"/>
      </w:tabs>
      <w:spacing w:after="0" w:line="240" w:lineRule="auto"/>
      <w:rPr>
        <w:rFonts w:ascii="Times New Roman" w:eastAsia="Calibri" w:hAnsi="Calibri" w:cs="Times New Roman"/>
        <w:lang w:val="en-GB"/>
      </w:rPr>
    </w:pPr>
    <w:r w:rsidRPr="009A5895">
      <w:rPr>
        <w:rFonts w:ascii="Times New Roman" w:eastAsia="Times New Roman" w:hAnsi="Times New Roman" w:cs="Times New Roman"/>
        <w:noProof/>
      </w:rPr>
      <w:drawing>
        <wp:anchor distT="0" distB="0" distL="114300" distR="114300" simplePos="0" relativeHeight="251660288" behindDoc="1" locked="0" layoutInCell="1" allowOverlap="1" wp14:anchorId="02A3B593" wp14:editId="5D7975BC">
          <wp:simplePos x="0" y="0"/>
          <wp:positionH relativeFrom="column">
            <wp:posOffset>4415155</wp:posOffset>
          </wp:positionH>
          <wp:positionV relativeFrom="paragraph">
            <wp:posOffset>-207645</wp:posOffset>
          </wp:positionV>
          <wp:extent cx="1072515" cy="548640"/>
          <wp:effectExtent l="0" t="0" r="0" b="0"/>
          <wp:wrapNone/>
          <wp:docPr id="4" name="Picture 4" descr="Description: C:\Users\User\Desktop\1132x1600\AJP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esktop\1132x1600\AJP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51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895">
      <w:rPr>
        <w:rFonts w:ascii="Times New Roman" w:eastAsia="Calibri" w:hAnsi="Calibri" w:cs="Times New Roman"/>
        <w:lang w:val="en-GB"/>
      </w:rPr>
      <w:t>American Journal of Law</w:t>
    </w:r>
    <w:r w:rsidRPr="009A5895">
      <w:rPr>
        <w:rFonts w:ascii="Times New Roman" w:eastAsia="Calibri" w:hAnsi="Calibri" w:cs="Times New Roman"/>
        <w:lang w:val="en-GB"/>
      </w:rPr>
      <w:tab/>
    </w:r>
  </w:p>
  <w:p w14:paraId="5838F345" w14:textId="77777777" w:rsidR="00A3444A" w:rsidRPr="009A5895" w:rsidRDefault="00A3444A" w:rsidP="00A3444A">
    <w:pPr>
      <w:tabs>
        <w:tab w:val="center" w:pos="4513"/>
        <w:tab w:val="right" w:pos="9026"/>
      </w:tabs>
      <w:spacing w:after="0" w:line="240" w:lineRule="auto"/>
      <w:rPr>
        <w:rFonts w:ascii="Times New Roman" w:eastAsia="Calibri" w:hAnsi="Calibri" w:cs="Times New Roman"/>
        <w:lang w:val="en-GB"/>
      </w:rPr>
    </w:pPr>
    <w:r w:rsidRPr="009A5895">
      <w:rPr>
        <w:rFonts w:ascii="Times New Roman" w:eastAsia="Calibri" w:hAnsi="Calibri" w:cs="Times New Roman"/>
        <w:lang w:val="en-GB"/>
      </w:rPr>
      <w:t xml:space="preserve">ISSN 2709-6521 (Online)  </w:t>
    </w:r>
    <w:r w:rsidRPr="009A5895">
      <w:rPr>
        <w:rFonts w:ascii="Times New Roman" w:eastAsia="Calibri" w:hAnsi="Calibri" w:cs="Times New Roman"/>
        <w:lang w:val="en-GB"/>
      </w:rPr>
      <w:tab/>
    </w:r>
  </w:p>
  <w:p w14:paraId="1BD9713D" w14:textId="77777777" w:rsidR="00A3444A" w:rsidRPr="009A5895" w:rsidRDefault="00A3444A" w:rsidP="00A3444A">
    <w:pPr>
      <w:tabs>
        <w:tab w:val="center" w:pos="4513"/>
        <w:tab w:val="right" w:pos="9026"/>
      </w:tabs>
      <w:spacing w:after="0" w:line="240" w:lineRule="auto"/>
      <w:rPr>
        <w:rFonts w:ascii="Times New Roman" w:eastAsia="Calibri" w:hAnsi="Calibri" w:cs="Times New Roman"/>
        <w:lang w:val="en-GB"/>
      </w:rPr>
    </w:pPr>
    <w:r w:rsidRPr="009A5895">
      <w:rPr>
        <w:rFonts w:ascii="Times New Roman" w:eastAsia="Calibri" w:hAnsi="Calibri" w:cs="Times New Roman"/>
        <w:lang w:val="en-GB"/>
      </w:rPr>
      <w:t xml:space="preserve">Vol.6, Issue </w:t>
    </w:r>
    <w:r>
      <w:rPr>
        <w:rFonts w:ascii="Times New Roman" w:eastAsia="Calibri" w:hAnsi="Times New Roman" w:cs="Times New Roman"/>
        <w:lang w:val="en-GB"/>
      </w:rPr>
      <w:t>3</w:t>
    </w:r>
    <w:r w:rsidRPr="009A5895">
      <w:rPr>
        <w:rFonts w:ascii="Times New Roman" w:eastAsia="Calibri" w:hAnsi="Times New Roman" w:cs="Times New Roman"/>
        <w:lang w:val="en-GB"/>
      </w:rPr>
      <w:t xml:space="preserve">, pp </w:t>
    </w:r>
    <w:r>
      <w:rPr>
        <w:rFonts w:ascii="Times New Roman" w:eastAsia="Calibri" w:hAnsi="Times New Roman" w:cs="Times New Roman"/>
        <w:lang w:val="en-GB"/>
      </w:rPr>
      <w:t>11</w:t>
    </w:r>
    <w:r w:rsidRPr="009A5895">
      <w:rPr>
        <w:rFonts w:ascii="Times New Roman" w:eastAsia="Calibri" w:hAnsi="Times New Roman" w:cs="Times New Roman"/>
      </w:rPr>
      <w:t xml:space="preserve"> </w:t>
    </w:r>
    <w:r w:rsidRPr="009A5895">
      <w:rPr>
        <w:rFonts w:ascii="Times New Roman" w:eastAsia="Calibri" w:hAnsi="Times New Roman" w:cs="Times New Roman"/>
        <w:lang w:val="en-GB"/>
      </w:rPr>
      <w:t>-</w:t>
    </w:r>
    <w:r>
      <w:rPr>
        <w:rFonts w:ascii="Times New Roman" w:eastAsia="Calibri" w:hAnsi="Times New Roman" w:cs="Times New Roman"/>
        <w:lang w:val="en-GB"/>
      </w:rPr>
      <w:t xml:space="preserve"> 22</w:t>
    </w:r>
    <w:r w:rsidRPr="009A5895">
      <w:rPr>
        <w:rFonts w:ascii="Times New Roman" w:eastAsia="Calibri" w:hAnsi="Times New Roman" w:cs="Times New Roman"/>
        <w:lang w:val="en-GB"/>
      </w:rPr>
      <w:t xml:space="preserve">, 2024                                                               </w:t>
    </w:r>
    <w:hyperlink r:id="rId2" w:history="1">
      <w:r w:rsidRPr="009A5895">
        <w:rPr>
          <w:rFonts w:ascii="Times New Roman" w:eastAsia="Calibri" w:hAnsi="Calibri" w:cs="Times New Roman"/>
          <w:color w:val="0000FF"/>
          <w:u w:val="single"/>
          <w:lang w:val="en-GB"/>
        </w:rPr>
        <w:t>www.ajpojournals.org</w:t>
      </w:r>
    </w:hyperlink>
  </w:p>
  <w:p w14:paraId="7FD9FC76" w14:textId="77777777" w:rsidR="00A3444A" w:rsidRPr="00A3444A" w:rsidRDefault="00A3444A" w:rsidP="00A3444A">
    <w:pPr>
      <w:tabs>
        <w:tab w:val="center" w:pos="4680"/>
        <w:tab w:val="right" w:pos="9360"/>
      </w:tabs>
      <w:spacing w:after="0" w:line="240" w:lineRule="auto"/>
      <w:rPr>
        <w:rFonts w:ascii="Calibri" w:eastAsia="Calibri" w:hAnsi="Calibri" w:cs="Times New Roman"/>
      </w:rPr>
    </w:pPr>
    <w:r w:rsidRPr="009A5895">
      <w:rPr>
        <w:rFonts w:ascii="Times New Roman" w:eastAsia="Times New Roman" w:hAnsi="Times New Roman" w:cs="Times New Roman"/>
        <w:noProof/>
      </w:rPr>
      <mc:AlternateContent>
        <mc:Choice Requires="wps">
          <w:drawing>
            <wp:anchor distT="4294967287" distB="4294967287" distL="114300" distR="114300" simplePos="0" relativeHeight="251659264" behindDoc="0" locked="0" layoutInCell="1" allowOverlap="1" wp14:anchorId="17A68305" wp14:editId="69FD1980">
              <wp:simplePos x="0" y="0"/>
              <wp:positionH relativeFrom="page">
                <wp:posOffset>-41910</wp:posOffset>
              </wp:positionH>
              <wp:positionV relativeFrom="paragraph">
                <wp:posOffset>100329</wp:posOffset>
              </wp:positionV>
              <wp:extent cx="7842885" cy="0"/>
              <wp:effectExtent l="0" t="19050" r="24765" b="19050"/>
              <wp:wrapNone/>
              <wp:docPr id="2115046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42885" cy="0"/>
                      </a:xfrm>
                      <a:prstGeom prst="line">
                        <a:avLst/>
                      </a:prstGeom>
                      <a:noFill/>
                      <a:ln w="38100" cap="flat" cmpd="sng" algn="ctr">
                        <a:solidFill>
                          <a:srgbClr val="42C0FB"/>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CD72BA0" id="Straight Connector 1" o:spid="_x0000_s1026" style="position:absolute;z-index:251659264;visibility:visible;mso-wrap-style:square;mso-width-percent:0;mso-height-percent:0;mso-wrap-distance-left:9pt;mso-wrap-distance-top:-.00025mm;mso-wrap-distance-right:9pt;mso-wrap-distance-bottom:-.00025mm;mso-position-horizontal:absolute;mso-position-horizontal-relative:page;mso-position-vertical:absolute;mso-position-vertical-relative:text;mso-width-percent:0;mso-height-percent:0;mso-width-relative:page;mso-height-relative:margin" from="-3.3pt,7.9pt" to="614.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" strokecolor="#42c0fb" strokeweight="3pt">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7598"/>
    <w:multiLevelType w:val="multilevel"/>
    <w:tmpl w:val="1DA0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206FD"/>
    <w:multiLevelType w:val="multilevel"/>
    <w:tmpl w:val="AE08E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CB7043"/>
    <w:multiLevelType w:val="multilevel"/>
    <w:tmpl w:val="1D74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837FB8"/>
    <w:multiLevelType w:val="multilevel"/>
    <w:tmpl w:val="EF7A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EC0078"/>
    <w:multiLevelType w:val="multilevel"/>
    <w:tmpl w:val="6EE6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E08"/>
    <w:rsid w:val="001C184A"/>
    <w:rsid w:val="00236946"/>
    <w:rsid w:val="0024160C"/>
    <w:rsid w:val="00243671"/>
    <w:rsid w:val="00264F46"/>
    <w:rsid w:val="002F76C4"/>
    <w:rsid w:val="00377D0A"/>
    <w:rsid w:val="00432DFA"/>
    <w:rsid w:val="00575E08"/>
    <w:rsid w:val="006235C6"/>
    <w:rsid w:val="006B428F"/>
    <w:rsid w:val="008D7FB9"/>
    <w:rsid w:val="00A3444A"/>
    <w:rsid w:val="00A83AEB"/>
    <w:rsid w:val="00AC305F"/>
    <w:rsid w:val="00AD4F53"/>
    <w:rsid w:val="00B34E0E"/>
    <w:rsid w:val="00C428AD"/>
    <w:rsid w:val="00CC598C"/>
    <w:rsid w:val="00DE5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9A26"/>
  <w15:chartTrackingRefBased/>
  <w15:docId w15:val="{3A4CC49D-D870-4180-9653-1D2E0627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3671"/>
    <w:rPr>
      <w:color w:val="0563C1" w:themeColor="hyperlink"/>
      <w:u w:val="single"/>
    </w:rPr>
  </w:style>
  <w:style w:type="paragraph" w:styleId="Header">
    <w:name w:val="header"/>
    <w:basedOn w:val="Normal"/>
    <w:link w:val="HeaderChar"/>
    <w:uiPriority w:val="99"/>
    <w:unhideWhenUsed/>
    <w:rsid w:val="00A34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44A"/>
  </w:style>
  <w:style w:type="paragraph" w:styleId="Footer">
    <w:name w:val="footer"/>
    <w:basedOn w:val="Normal"/>
    <w:link w:val="FooterChar"/>
    <w:uiPriority w:val="99"/>
    <w:unhideWhenUsed/>
    <w:rsid w:val="00A34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44A"/>
  </w:style>
  <w:style w:type="character" w:styleId="CommentReference">
    <w:name w:val="annotation reference"/>
    <w:basedOn w:val="DefaultParagraphFont"/>
    <w:uiPriority w:val="99"/>
    <w:semiHidden/>
    <w:unhideWhenUsed/>
    <w:rsid w:val="00432DFA"/>
    <w:rPr>
      <w:sz w:val="16"/>
      <w:szCs w:val="16"/>
    </w:rPr>
  </w:style>
  <w:style w:type="paragraph" w:styleId="CommentText">
    <w:name w:val="annotation text"/>
    <w:basedOn w:val="Normal"/>
    <w:link w:val="CommentTextChar"/>
    <w:uiPriority w:val="99"/>
    <w:semiHidden/>
    <w:unhideWhenUsed/>
    <w:rsid w:val="00432DFA"/>
    <w:pPr>
      <w:spacing w:line="240" w:lineRule="auto"/>
    </w:pPr>
    <w:rPr>
      <w:sz w:val="20"/>
      <w:szCs w:val="20"/>
    </w:rPr>
  </w:style>
  <w:style w:type="character" w:customStyle="1" w:styleId="CommentTextChar">
    <w:name w:val="Comment Text Char"/>
    <w:basedOn w:val="DefaultParagraphFont"/>
    <w:link w:val="CommentText"/>
    <w:uiPriority w:val="99"/>
    <w:semiHidden/>
    <w:rsid w:val="00432DFA"/>
    <w:rPr>
      <w:sz w:val="20"/>
      <w:szCs w:val="20"/>
    </w:rPr>
  </w:style>
  <w:style w:type="paragraph" w:styleId="CommentSubject">
    <w:name w:val="annotation subject"/>
    <w:basedOn w:val="CommentText"/>
    <w:next w:val="CommentText"/>
    <w:link w:val="CommentSubjectChar"/>
    <w:uiPriority w:val="99"/>
    <w:semiHidden/>
    <w:unhideWhenUsed/>
    <w:rsid w:val="00432DFA"/>
    <w:rPr>
      <w:b/>
      <w:bCs/>
    </w:rPr>
  </w:style>
  <w:style w:type="character" w:customStyle="1" w:styleId="CommentSubjectChar">
    <w:name w:val="Comment Subject Char"/>
    <w:basedOn w:val="CommentTextChar"/>
    <w:link w:val="CommentSubject"/>
    <w:uiPriority w:val="99"/>
    <w:semiHidden/>
    <w:rsid w:val="00432DFA"/>
    <w:rPr>
      <w:b/>
      <w:bCs/>
      <w:sz w:val="20"/>
      <w:szCs w:val="20"/>
    </w:rPr>
  </w:style>
  <w:style w:type="paragraph" w:styleId="BalloonText">
    <w:name w:val="Balloon Text"/>
    <w:basedOn w:val="Normal"/>
    <w:link w:val="BalloonTextChar"/>
    <w:uiPriority w:val="99"/>
    <w:semiHidden/>
    <w:unhideWhenUsed/>
    <w:rsid w:val="00432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6140">
      <w:bodyDiv w:val="1"/>
      <w:marLeft w:val="0"/>
      <w:marRight w:val="0"/>
      <w:marTop w:val="0"/>
      <w:marBottom w:val="0"/>
      <w:divBdr>
        <w:top w:val="none" w:sz="0" w:space="0" w:color="auto"/>
        <w:left w:val="none" w:sz="0" w:space="0" w:color="auto"/>
        <w:bottom w:val="none" w:sz="0" w:space="0" w:color="auto"/>
        <w:right w:val="none" w:sz="0" w:space="0" w:color="auto"/>
      </w:divBdr>
      <w:divsChild>
        <w:div w:id="344095943">
          <w:marLeft w:val="0"/>
          <w:marRight w:val="0"/>
          <w:marTop w:val="0"/>
          <w:marBottom w:val="0"/>
          <w:divBdr>
            <w:top w:val="none" w:sz="0" w:space="0" w:color="auto"/>
            <w:left w:val="none" w:sz="0" w:space="0" w:color="auto"/>
            <w:bottom w:val="none" w:sz="0" w:space="0" w:color="auto"/>
            <w:right w:val="none" w:sz="0" w:space="0" w:color="auto"/>
          </w:divBdr>
        </w:div>
      </w:divsChild>
    </w:div>
    <w:div w:id="147019233">
      <w:bodyDiv w:val="1"/>
      <w:marLeft w:val="0"/>
      <w:marRight w:val="0"/>
      <w:marTop w:val="0"/>
      <w:marBottom w:val="0"/>
      <w:divBdr>
        <w:top w:val="none" w:sz="0" w:space="0" w:color="auto"/>
        <w:left w:val="none" w:sz="0" w:space="0" w:color="auto"/>
        <w:bottom w:val="none" w:sz="0" w:space="0" w:color="auto"/>
        <w:right w:val="none" w:sz="0" w:space="0" w:color="auto"/>
      </w:divBdr>
    </w:div>
    <w:div w:id="170797937">
      <w:bodyDiv w:val="1"/>
      <w:marLeft w:val="0"/>
      <w:marRight w:val="0"/>
      <w:marTop w:val="0"/>
      <w:marBottom w:val="0"/>
      <w:divBdr>
        <w:top w:val="none" w:sz="0" w:space="0" w:color="auto"/>
        <w:left w:val="none" w:sz="0" w:space="0" w:color="auto"/>
        <w:bottom w:val="none" w:sz="0" w:space="0" w:color="auto"/>
        <w:right w:val="none" w:sz="0" w:space="0" w:color="auto"/>
      </w:divBdr>
    </w:div>
    <w:div w:id="289166998">
      <w:bodyDiv w:val="1"/>
      <w:marLeft w:val="0"/>
      <w:marRight w:val="0"/>
      <w:marTop w:val="0"/>
      <w:marBottom w:val="0"/>
      <w:divBdr>
        <w:top w:val="none" w:sz="0" w:space="0" w:color="auto"/>
        <w:left w:val="none" w:sz="0" w:space="0" w:color="auto"/>
        <w:bottom w:val="none" w:sz="0" w:space="0" w:color="auto"/>
        <w:right w:val="none" w:sz="0" w:space="0" w:color="auto"/>
      </w:divBdr>
      <w:divsChild>
        <w:div w:id="631323966">
          <w:marLeft w:val="0"/>
          <w:marRight w:val="0"/>
          <w:marTop w:val="0"/>
          <w:marBottom w:val="0"/>
          <w:divBdr>
            <w:top w:val="none" w:sz="0" w:space="0" w:color="auto"/>
            <w:left w:val="none" w:sz="0" w:space="0" w:color="auto"/>
            <w:bottom w:val="none" w:sz="0" w:space="0" w:color="auto"/>
            <w:right w:val="none" w:sz="0" w:space="0" w:color="auto"/>
          </w:divBdr>
          <w:divsChild>
            <w:div w:id="2045933794">
              <w:marLeft w:val="0"/>
              <w:marRight w:val="0"/>
              <w:marTop w:val="0"/>
              <w:marBottom w:val="0"/>
              <w:divBdr>
                <w:top w:val="none" w:sz="0" w:space="0" w:color="auto"/>
                <w:left w:val="none" w:sz="0" w:space="0" w:color="auto"/>
                <w:bottom w:val="none" w:sz="0" w:space="0" w:color="auto"/>
                <w:right w:val="none" w:sz="0" w:space="0" w:color="auto"/>
              </w:divBdr>
              <w:divsChild>
                <w:div w:id="2114279076">
                  <w:marLeft w:val="0"/>
                  <w:marRight w:val="0"/>
                  <w:marTop w:val="0"/>
                  <w:marBottom w:val="0"/>
                  <w:divBdr>
                    <w:top w:val="none" w:sz="0" w:space="0" w:color="auto"/>
                    <w:left w:val="none" w:sz="0" w:space="0" w:color="auto"/>
                    <w:bottom w:val="none" w:sz="0" w:space="0" w:color="auto"/>
                    <w:right w:val="none" w:sz="0" w:space="0" w:color="auto"/>
                  </w:divBdr>
                  <w:divsChild>
                    <w:div w:id="114763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5513">
          <w:marLeft w:val="0"/>
          <w:marRight w:val="0"/>
          <w:marTop w:val="0"/>
          <w:marBottom w:val="0"/>
          <w:divBdr>
            <w:top w:val="none" w:sz="0" w:space="0" w:color="auto"/>
            <w:left w:val="none" w:sz="0" w:space="0" w:color="auto"/>
            <w:bottom w:val="none" w:sz="0" w:space="0" w:color="auto"/>
            <w:right w:val="none" w:sz="0" w:space="0" w:color="auto"/>
          </w:divBdr>
          <w:divsChild>
            <w:div w:id="1905408887">
              <w:marLeft w:val="0"/>
              <w:marRight w:val="0"/>
              <w:marTop w:val="0"/>
              <w:marBottom w:val="0"/>
              <w:divBdr>
                <w:top w:val="none" w:sz="0" w:space="0" w:color="auto"/>
                <w:left w:val="none" w:sz="0" w:space="0" w:color="auto"/>
                <w:bottom w:val="none" w:sz="0" w:space="0" w:color="auto"/>
                <w:right w:val="none" w:sz="0" w:space="0" w:color="auto"/>
              </w:divBdr>
              <w:divsChild>
                <w:div w:id="946734497">
                  <w:marLeft w:val="0"/>
                  <w:marRight w:val="0"/>
                  <w:marTop w:val="0"/>
                  <w:marBottom w:val="0"/>
                  <w:divBdr>
                    <w:top w:val="none" w:sz="0" w:space="0" w:color="auto"/>
                    <w:left w:val="none" w:sz="0" w:space="0" w:color="auto"/>
                    <w:bottom w:val="none" w:sz="0" w:space="0" w:color="auto"/>
                    <w:right w:val="none" w:sz="0" w:space="0" w:color="auto"/>
                  </w:divBdr>
                  <w:divsChild>
                    <w:div w:id="3694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77264">
      <w:bodyDiv w:val="1"/>
      <w:marLeft w:val="0"/>
      <w:marRight w:val="0"/>
      <w:marTop w:val="0"/>
      <w:marBottom w:val="0"/>
      <w:divBdr>
        <w:top w:val="none" w:sz="0" w:space="0" w:color="auto"/>
        <w:left w:val="none" w:sz="0" w:space="0" w:color="auto"/>
        <w:bottom w:val="none" w:sz="0" w:space="0" w:color="auto"/>
        <w:right w:val="none" w:sz="0" w:space="0" w:color="auto"/>
      </w:divBdr>
    </w:div>
    <w:div w:id="1739742905">
      <w:bodyDiv w:val="1"/>
      <w:marLeft w:val="0"/>
      <w:marRight w:val="0"/>
      <w:marTop w:val="0"/>
      <w:marBottom w:val="0"/>
      <w:divBdr>
        <w:top w:val="none" w:sz="0" w:space="0" w:color="auto"/>
        <w:left w:val="none" w:sz="0" w:space="0" w:color="auto"/>
        <w:bottom w:val="none" w:sz="0" w:space="0" w:color="auto"/>
        <w:right w:val="none" w:sz="0" w:space="0" w:color="auto"/>
      </w:divBdr>
    </w:div>
    <w:div w:id="1841388484">
      <w:bodyDiv w:val="1"/>
      <w:marLeft w:val="0"/>
      <w:marRight w:val="0"/>
      <w:marTop w:val="0"/>
      <w:marBottom w:val="0"/>
      <w:divBdr>
        <w:top w:val="none" w:sz="0" w:space="0" w:color="auto"/>
        <w:left w:val="none" w:sz="0" w:space="0" w:color="auto"/>
        <w:bottom w:val="none" w:sz="0" w:space="0" w:color="auto"/>
        <w:right w:val="none" w:sz="0" w:space="0" w:color="auto"/>
      </w:divBdr>
    </w:div>
    <w:div w:id="1843200204">
      <w:bodyDiv w:val="1"/>
      <w:marLeft w:val="0"/>
      <w:marRight w:val="0"/>
      <w:marTop w:val="0"/>
      <w:marBottom w:val="0"/>
      <w:divBdr>
        <w:top w:val="none" w:sz="0" w:space="0" w:color="auto"/>
        <w:left w:val="none" w:sz="0" w:space="0" w:color="auto"/>
        <w:bottom w:val="none" w:sz="0" w:space="0" w:color="auto"/>
        <w:right w:val="none" w:sz="0" w:space="0" w:color="auto"/>
      </w:divBdr>
    </w:div>
    <w:div w:id="1948853131">
      <w:bodyDiv w:val="1"/>
      <w:marLeft w:val="0"/>
      <w:marRight w:val="0"/>
      <w:marTop w:val="0"/>
      <w:marBottom w:val="0"/>
      <w:divBdr>
        <w:top w:val="none" w:sz="0" w:space="0" w:color="auto"/>
        <w:left w:val="none" w:sz="0" w:space="0" w:color="auto"/>
        <w:bottom w:val="none" w:sz="0" w:space="0" w:color="auto"/>
        <w:right w:val="none" w:sz="0" w:space="0" w:color="auto"/>
      </w:divBdr>
    </w:div>
    <w:div w:id="1985809981">
      <w:bodyDiv w:val="1"/>
      <w:marLeft w:val="0"/>
      <w:marRight w:val="0"/>
      <w:marTop w:val="0"/>
      <w:marBottom w:val="0"/>
      <w:divBdr>
        <w:top w:val="none" w:sz="0" w:space="0" w:color="auto"/>
        <w:left w:val="none" w:sz="0" w:space="0" w:color="auto"/>
        <w:bottom w:val="none" w:sz="0" w:space="0" w:color="auto"/>
        <w:right w:val="none" w:sz="0" w:space="0" w:color="auto"/>
      </w:divBdr>
    </w:div>
    <w:div w:id="208460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hyperlink" Target="https://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doi.org/10.47672/ajep.170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47672/ajl.2304" TargetMode="External"/><Relationship Id="rId1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file:///C:\Users\User\Desktop\New%20AJPO%20JOURNALS\American%20Journal%20of%20Finance\www.ajpojournals.or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5207</Words>
  <Characters>29682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3</cp:revision>
  <dcterms:created xsi:type="dcterms:W3CDTF">2024-08-21T19:09:00Z</dcterms:created>
  <dcterms:modified xsi:type="dcterms:W3CDTF">2024-08-22T17:59:00Z</dcterms:modified>
</cp:coreProperties>
</file>